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4B" w:rsidRPr="00155D0D" w:rsidRDefault="00B5234B">
      <w:pPr>
        <w:jc w:val="center"/>
        <w:rPr>
          <w:rFonts w:ascii="Verdana" w:hAnsi="Verdana"/>
          <w:b/>
          <w:lang w:val="et-EE"/>
        </w:rPr>
      </w:pPr>
      <w:r w:rsidRPr="00155D0D">
        <w:rPr>
          <w:rFonts w:ascii="Verdana" w:hAnsi="Verdana"/>
          <w:b/>
          <w:lang w:val="et-EE"/>
        </w:rPr>
        <w:tab/>
      </w:r>
    </w:p>
    <w:p w:rsidR="00CD0F00" w:rsidRPr="00155D0D" w:rsidRDefault="00CD0F00" w:rsidP="00CD0F00">
      <w:pPr>
        <w:jc w:val="center"/>
        <w:outlineLvl w:val="0"/>
        <w:rPr>
          <w:rFonts w:ascii="Verdana" w:hAnsi="Verdana"/>
          <w:b/>
          <w:sz w:val="24"/>
          <w:lang w:val="et-EE"/>
        </w:rPr>
      </w:pPr>
    </w:p>
    <w:p w:rsidR="00CD0F00" w:rsidRPr="00155D0D" w:rsidRDefault="00CD0F00" w:rsidP="00CD0F00">
      <w:pPr>
        <w:jc w:val="center"/>
        <w:outlineLvl w:val="0"/>
        <w:rPr>
          <w:rFonts w:ascii="Verdana" w:hAnsi="Verdana"/>
          <w:b/>
          <w:sz w:val="24"/>
          <w:lang w:val="et-EE"/>
        </w:rPr>
      </w:pPr>
      <w:r w:rsidRPr="00155D0D">
        <w:rPr>
          <w:rFonts w:ascii="Verdana" w:hAnsi="Verdana"/>
          <w:b/>
          <w:sz w:val="24"/>
          <w:lang w:val="et-EE"/>
        </w:rPr>
        <w:t xml:space="preserve">LEPING VÄÄRTPABERITE NOTEERIMISEKS JA KAUPLEMISELE VÕTMISEKS </w:t>
      </w:r>
      <w:r w:rsidR="00155D0D" w:rsidRPr="00155D0D">
        <w:rPr>
          <w:rFonts w:ascii="Verdana" w:hAnsi="Verdana"/>
          <w:b/>
          <w:sz w:val="24"/>
          <w:lang w:val="et-EE"/>
        </w:rPr>
        <w:t xml:space="preserve">NASDAQ </w:t>
      </w:r>
      <w:r w:rsidRPr="00155D0D">
        <w:rPr>
          <w:rFonts w:ascii="Verdana" w:hAnsi="Verdana"/>
          <w:b/>
          <w:sz w:val="24"/>
          <w:lang w:val="et-EE"/>
        </w:rPr>
        <w:t>TALLINNA BÖRSIL</w:t>
      </w:r>
    </w:p>
    <w:p w:rsidR="00B5234B" w:rsidRPr="00155D0D" w:rsidRDefault="00B5234B">
      <w:pPr>
        <w:jc w:val="center"/>
        <w:outlineLvl w:val="0"/>
        <w:rPr>
          <w:rFonts w:ascii="Verdana" w:hAnsi="Verdana"/>
          <w:b/>
          <w:sz w:val="24"/>
          <w:lang w:val="et-EE"/>
        </w:rPr>
      </w:pPr>
    </w:p>
    <w:p w:rsidR="00B5234B" w:rsidRPr="00155D0D" w:rsidRDefault="00B5234B">
      <w:pPr>
        <w:numPr>
          <w:ilvl w:val="12"/>
          <w:numId w:val="0"/>
        </w:numPr>
        <w:jc w:val="both"/>
        <w:rPr>
          <w:rFonts w:ascii="Verdana" w:hAnsi="Verdana"/>
          <w:lang w:val="et-EE"/>
        </w:rPr>
      </w:pPr>
    </w:p>
    <w:p w:rsidR="00CD0F00" w:rsidRPr="00155D0D" w:rsidRDefault="00CD0F00">
      <w:pPr>
        <w:numPr>
          <w:ilvl w:val="12"/>
          <w:numId w:val="0"/>
        </w:numPr>
        <w:jc w:val="both"/>
        <w:rPr>
          <w:rFonts w:ascii="Verdana" w:hAnsi="Verdana"/>
          <w:lang w:val="et-EE"/>
        </w:rPr>
      </w:pPr>
    </w:p>
    <w:p w:rsidR="00B5234B" w:rsidRPr="00155D0D" w:rsidRDefault="00CD0F00">
      <w:pPr>
        <w:numPr>
          <w:ilvl w:val="12"/>
          <w:numId w:val="0"/>
        </w:numPr>
        <w:jc w:val="both"/>
        <w:outlineLvl w:val="0"/>
        <w:rPr>
          <w:rFonts w:ascii="Verdana" w:hAnsi="Verdana"/>
          <w:lang w:val="et-EE"/>
        </w:rPr>
      </w:pPr>
      <w:r w:rsidRPr="00155D0D">
        <w:rPr>
          <w:rFonts w:ascii="Verdana" w:hAnsi="Verdana"/>
          <w:lang w:val="et-EE"/>
        </w:rPr>
        <w:t xml:space="preserve">Tallinnas, </w:t>
      </w:r>
      <w:r w:rsidR="00155D0D" w:rsidRPr="00155D0D">
        <w:rPr>
          <w:rFonts w:ascii="Verdana" w:hAnsi="Verdana"/>
          <w:highlight w:val="lightGray"/>
          <w:lang w:val="et-EE"/>
        </w:rPr>
        <w:t>[pp.kk.aaaa]</w:t>
      </w:r>
      <w:r w:rsidR="00B5234B" w:rsidRPr="00155D0D">
        <w:rPr>
          <w:rFonts w:ascii="Verdana" w:hAnsi="Verdana"/>
          <w:lang w:val="et-EE"/>
        </w:rPr>
        <w:t xml:space="preserve"> aastal.</w:t>
      </w:r>
    </w:p>
    <w:p w:rsidR="00CD0F00" w:rsidRPr="00155D0D" w:rsidRDefault="00CD0F00" w:rsidP="00CD0F00">
      <w:pPr>
        <w:numPr>
          <w:ilvl w:val="12"/>
          <w:numId w:val="0"/>
        </w:numPr>
        <w:jc w:val="both"/>
        <w:rPr>
          <w:rFonts w:ascii="Verdana" w:hAnsi="Verdana"/>
          <w:lang w:val="et-EE"/>
        </w:rPr>
      </w:pPr>
    </w:p>
    <w:p w:rsidR="00CD0F00" w:rsidRPr="00155D0D" w:rsidRDefault="00CD0F00" w:rsidP="00CD0F00">
      <w:pPr>
        <w:numPr>
          <w:ilvl w:val="12"/>
          <w:numId w:val="0"/>
        </w:numPr>
        <w:jc w:val="both"/>
        <w:outlineLvl w:val="0"/>
        <w:rPr>
          <w:rFonts w:ascii="Verdana" w:hAnsi="Verdana"/>
          <w:lang w:val="et-EE"/>
        </w:rPr>
      </w:pPr>
      <w:r w:rsidRPr="00155D0D">
        <w:rPr>
          <w:rFonts w:ascii="Verdana" w:hAnsi="Verdana"/>
          <w:lang w:val="et-EE"/>
        </w:rPr>
        <w:t xml:space="preserve">Käesoleva lepingu Emitendi väärtpaberite noteerimiseks ja kauplemisele võtmiseks Börsil (edaspidi: Leping) on sõlminud ühelt poolt </w:t>
      </w:r>
    </w:p>
    <w:p w:rsidR="00CD0F00" w:rsidRPr="00155D0D" w:rsidRDefault="00CD0F00" w:rsidP="00CD0F00">
      <w:pPr>
        <w:numPr>
          <w:ilvl w:val="12"/>
          <w:numId w:val="0"/>
        </w:numPr>
        <w:jc w:val="both"/>
        <w:rPr>
          <w:rFonts w:ascii="Verdana" w:hAnsi="Verdana"/>
          <w:lang w:val="et-EE"/>
        </w:rPr>
      </w:pPr>
    </w:p>
    <w:p w:rsidR="00CD0F00" w:rsidRPr="00155D0D" w:rsidRDefault="00CD0F00" w:rsidP="00CD0F00">
      <w:pPr>
        <w:numPr>
          <w:ilvl w:val="12"/>
          <w:numId w:val="0"/>
        </w:numPr>
        <w:jc w:val="both"/>
        <w:rPr>
          <w:rFonts w:ascii="Verdana" w:hAnsi="Verdana"/>
          <w:lang w:val="et-EE"/>
        </w:rPr>
      </w:pPr>
      <w:r w:rsidRPr="00155D0D">
        <w:rPr>
          <w:rFonts w:ascii="Verdana" w:hAnsi="Verdana"/>
          <w:b/>
          <w:lang w:val="et-EE"/>
        </w:rPr>
        <w:t>N</w:t>
      </w:r>
      <w:r w:rsidR="003242AF" w:rsidRPr="00155D0D">
        <w:rPr>
          <w:rFonts w:ascii="Verdana" w:hAnsi="Verdana"/>
          <w:b/>
          <w:lang w:val="et-EE"/>
        </w:rPr>
        <w:t>asdaq Tallinn</w:t>
      </w:r>
      <w:r w:rsidRPr="00155D0D">
        <w:rPr>
          <w:rFonts w:ascii="Verdana" w:hAnsi="Verdana"/>
          <w:b/>
          <w:lang w:val="et-EE"/>
        </w:rPr>
        <w:t xml:space="preserve"> AS </w:t>
      </w:r>
      <w:r w:rsidRPr="00155D0D">
        <w:rPr>
          <w:rFonts w:ascii="Verdana" w:hAnsi="Verdana"/>
          <w:lang w:val="et-EE"/>
        </w:rPr>
        <w:t>(edaspidi: Börs)</w:t>
      </w:r>
      <w:r w:rsidR="00DC50C5" w:rsidRPr="00155D0D">
        <w:rPr>
          <w:rFonts w:ascii="Verdana" w:hAnsi="Verdana"/>
          <w:lang w:val="et-EE"/>
        </w:rPr>
        <w:t>,</w:t>
      </w:r>
      <w:r w:rsidRPr="00155D0D">
        <w:rPr>
          <w:rFonts w:ascii="Verdana" w:hAnsi="Verdana"/>
          <w:lang w:val="et-EE"/>
        </w:rPr>
        <w:t xml:space="preserve"> registrikood 10359206, asukohaga Tallinnas, Tartu mnt. 2, mida esindab juhatuse liige </w:t>
      </w:r>
      <w:r w:rsidR="00155D0D" w:rsidRPr="00155D0D">
        <w:rPr>
          <w:rFonts w:ascii="Verdana" w:hAnsi="Verdana"/>
          <w:highlight w:val="lightGray"/>
          <w:lang w:val="et-EE"/>
        </w:rPr>
        <w:t>[nimi]</w:t>
      </w:r>
      <w:r w:rsidRPr="00155D0D">
        <w:rPr>
          <w:rFonts w:ascii="Verdana" w:hAnsi="Verdana"/>
          <w:lang w:val="et-EE"/>
        </w:rPr>
        <w:t xml:space="preserve">, kes tegutseb seaduse ja põhikirja alusel </w:t>
      </w:r>
    </w:p>
    <w:p w:rsidR="00CD0F00" w:rsidRPr="00155D0D" w:rsidRDefault="00CD0F00" w:rsidP="00CD0F00">
      <w:pPr>
        <w:numPr>
          <w:ilvl w:val="12"/>
          <w:numId w:val="0"/>
        </w:numPr>
        <w:jc w:val="both"/>
        <w:rPr>
          <w:rFonts w:ascii="Verdana" w:hAnsi="Verdana"/>
          <w:lang w:val="et-EE"/>
        </w:rPr>
      </w:pPr>
    </w:p>
    <w:p w:rsidR="00CD0F00" w:rsidRPr="00155D0D" w:rsidRDefault="00CD0F00" w:rsidP="00CD0F00">
      <w:pPr>
        <w:numPr>
          <w:ilvl w:val="12"/>
          <w:numId w:val="0"/>
        </w:numPr>
        <w:jc w:val="both"/>
        <w:rPr>
          <w:rFonts w:ascii="Verdana" w:hAnsi="Verdana"/>
          <w:lang w:val="et-EE"/>
        </w:rPr>
      </w:pPr>
      <w:r w:rsidRPr="00155D0D">
        <w:rPr>
          <w:rFonts w:ascii="Verdana" w:hAnsi="Verdana"/>
          <w:lang w:val="et-EE"/>
        </w:rPr>
        <w:t>ja   teiselt poolt</w:t>
      </w:r>
    </w:p>
    <w:p w:rsidR="00CD0F00" w:rsidRPr="00155D0D" w:rsidRDefault="00CD0F00" w:rsidP="00CD0F00">
      <w:pPr>
        <w:numPr>
          <w:ilvl w:val="12"/>
          <w:numId w:val="0"/>
        </w:numPr>
        <w:jc w:val="both"/>
        <w:rPr>
          <w:rFonts w:ascii="Verdana" w:hAnsi="Verdana"/>
          <w:lang w:val="et-EE"/>
        </w:rPr>
      </w:pPr>
    </w:p>
    <w:p w:rsidR="00CD0F00" w:rsidRPr="00155D0D" w:rsidRDefault="003242AF" w:rsidP="00CD0F00">
      <w:pPr>
        <w:numPr>
          <w:ilvl w:val="12"/>
          <w:numId w:val="0"/>
        </w:numPr>
        <w:jc w:val="both"/>
        <w:rPr>
          <w:rFonts w:ascii="Verdana" w:hAnsi="Verdana"/>
          <w:lang w:val="et-EE"/>
        </w:rPr>
      </w:pPr>
      <w:r w:rsidRPr="00155D0D">
        <w:rPr>
          <w:rFonts w:ascii="Verdana" w:hAnsi="Verdana"/>
          <w:b/>
          <w:lang w:val="et-EE"/>
        </w:rPr>
        <w:t xml:space="preserve">AS </w:t>
      </w:r>
      <w:r w:rsidR="00155D0D" w:rsidRPr="00155D0D">
        <w:rPr>
          <w:rFonts w:ascii="Verdana" w:hAnsi="Verdana"/>
          <w:highlight w:val="lightGray"/>
          <w:lang w:val="et-EE"/>
        </w:rPr>
        <w:t>[</w:t>
      </w:r>
      <w:r w:rsidR="00155D0D" w:rsidRPr="00155D0D">
        <w:rPr>
          <w:rFonts w:ascii="Verdana" w:hAnsi="Verdana"/>
          <w:b/>
          <w:highlight w:val="lightGray"/>
          <w:lang w:val="et-EE"/>
        </w:rPr>
        <w:t>Emitendi nimi</w:t>
      </w:r>
      <w:r w:rsidR="00155D0D" w:rsidRPr="00155D0D">
        <w:rPr>
          <w:rFonts w:ascii="Verdana" w:hAnsi="Verdana"/>
          <w:highlight w:val="lightGray"/>
          <w:lang w:val="et-EE"/>
        </w:rPr>
        <w:t>]</w:t>
      </w:r>
      <w:r w:rsidR="00155D0D" w:rsidRPr="00155D0D">
        <w:rPr>
          <w:rFonts w:ascii="Verdana" w:hAnsi="Verdana"/>
          <w:lang w:val="et-EE"/>
        </w:rPr>
        <w:t xml:space="preserve"> </w:t>
      </w:r>
      <w:r w:rsidR="00CD0F00" w:rsidRPr="00155D0D">
        <w:rPr>
          <w:rFonts w:ascii="Verdana" w:hAnsi="Verdana"/>
          <w:lang w:val="et-EE"/>
        </w:rPr>
        <w:t>(edaspidi: Emitent)</w:t>
      </w:r>
      <w:r w:rsidR="00DC50C5" w:rsidRPr="00155D0D">
        <w:rPr>
          <w:rFonts w:ascii="Verdana" w:hAnsi="Verdana"/>
          <w:lang w:val="et-EE"/>
        </w:rPr>
        <w:t>,</w:t>
      </w:r>
      <w:r w:rsidR="00CD0F00" w:rsidRPr="00155D0D">
        <w:rPr>
          <w:rFonts w:ascii="Verdana" w:hAnsi="Verdana"/>
          <w:lang w:val="et-EE"/>
        </w:rPr>
        <w:t xml:space="preserve"> registrikood </w:t>
      </w:r>
      <w:r w:rsidR="00155D0D" w:rsidRPr="00155D0D">
        <w:rPr>
          <w:rFonts w:ascii="Verdana" w:hAnsi="Verdana"/>
          <w:highlight w:val="lightGray"/>
          <w:lang w:val="et-EE"/>
        </w:rPr>
        <w:t>[</w:t>
      </w:r>
      <w:r w:rsidR="00155D0D" w:rsidRPr="00155D0D">
        <w:rPr>
          <w:rFonts w:ascii="Verdana" w:hAnsi="Verdana"/>
          <w:highlight w:val="lightGray"/>
          <w:lang w:val="et-EE"/>
        </w:rPr>
        <w:t>number</w:t>
      </w:r>
      <w:r w:rsidR="00155D0D" w:rsidRPr="00155D0D">
        <w:rPr>
          <w:rFonts w:ascii="Verdana" w:hAnsi="Verdana"/>
          <w:highlight w:val="lightGray"/>
          <w:lang w:val="et-EE"/>
        </w:rPr>
        <w:t>]</w:t>
      </w:r>
      <w:r w:rsidR="00CD0F00" w:rsidRPr="00155D0D">
        <w:rPr>
          <w:rFonts w:ascii="Verdana" w:hAnsi="Verdana"/>
          <w:lang w:val="et-EE"/>
        </w:rPr>
        <w:t>, asukohaga</w:t>
      </w:r>
      <w:r w:rsidR="00ED394E" w:rsidRPr="00155D0D">
        <w:rPr>
          <w:rFonts w:ascii="Verdana" w:hAnsi="Verdana"/>
          <w:lang w:val="et-EE"/>
        </w:rPr>
        <w:t xml:space="preserve"> </w:t>
      </w:r>
      <w:r w:rsidR="00155D0D" w:rsidRPr="00155D0D">
        <w:rPr>
          <w:rFonts w:ascii="Verdana" w:hAnsi="Verdana"/>
          <w:highlight w:val="lightGray"/>
          <w:lang w:val="et-EE"/>
        </w:rPr>
        <w:t>[</w:t>
      </w:r>
      <w:r w:rsidR="00155D0D" w:rsidRPr="00155D0D">
        <w:rPr>
          <w:rFonts w:ascii="Verdana" w:hAnsi="Verdana"/>
          <w:highlight w:val="lightGray"/>
          <w:lang w:val="et-EE"/>
        </w:rPr>
        <w:t>aadress</w:t>
      </w:r>
      <w:r w:rsidR="00155D0D" w:rsidRPr="00155D0D">
        <w:rPr>
          <w:rFonts w:ascii="Verdana" w:hAnsi="Verdana"/>
          <w:highlight w:val="lightGray"/>
          <w:lang w:val="et-EE"/>
        </w:rPr>
        <w:t>]</w:t>
      </w:r>
      <w:r w:rsidR="00CD0F00" w:rsidRPr="00155D0D">
        <w:rPr>
          <w:rFonts w:ascii="Verdana" w:hAnsi="Verdana"/>
          <w:lang w:val="et-EE"/>
        </w:rPr>
        <w:t xml:space="preserve">, mida esindab juhatuse liige </w:t>
      </w:r>
      <w:r w:rsidR="00155D0D" w:rsidRPr="00155D0D">
        <w:rPr>
          <w:rFonts w:ascii="Verdana" w:hAnsi="Verdana"/>
          <w:highlight w:val="lightGray"/>
          <w:lang w:val="et-EE"/>
        </w:rPr>
        <w:t>[</w:t>
      </w:r>
      <w:r w:rsidR="00155D0D" w:rsidRPr="00155D0D">
        <w:rPr>
          <w:rFonts w:ascii="Verdana" w:hAnsi="Verdana"/>
          <w:highlight w:val="lightGray"/>
          <w:lang w:val="et-EE"/>
        </w:rPr>
        <w:t>nimi</w:t>
      </w:r>
      <w:r w:rsidR="00155D0D" w:rsidRPr="00155D0D">
        <w:rPr>
          <w:rFonts w:ascii="Verdana" w:hAnsi="Verdana"/>
          <w:highlight w:val="lightGray"/>
          <w:lang w:val="et-EE"/>
        </w:rPr>
        <w:t>]</w:t>
      </w:r>
      <w:r w:rsidR="00CD0F00" w:rsidRPr="00155D0D">
        <w:rPr>
          <w:rFonts w:ascii="Verdana" w:hAnsi="Verdana"/>
          <w:lang w:val="et-EE"/>
        </w:rPr>
        <w:t xml:space="preserve">, kes tegutseb seaduse ja põhikirja alusel, </w:t>
      </w:r>
    </w:p>
    <w:p w:rsidR="00CD0F00" w:rsidRPr="00155D0D" w:rsidRDefault="00CD0F00" w:rsidP="00CD0F00">
      <w:pPr>
        <w:numPr>
          <w:ilvl w:val="12"/>
          <w:numId w:val="0"/>
        </w:numPr>
        <w:jc w:val="both"/>
        <w:rPr>
          <w:rFonts w:ascii="Verdana" w:hAnsi="Verdana"/>
          <w:lang w:val="et-EE"/>
        </w:rPr>
      </w:pPr>
    </w:p>
    <w:p w:rsidR="00CD0F00" w:rsidRPr="00155D0D" w:rsidRDefault="00CD0F00" w:rsidP="00CD0F00">
      <w:pPr>
        <w:numPr>
          <w:ilvl w:val="12"/>
          <w:numId w:val="0"/>
        </w:numPr>
        <w:jc w:val="both"/>
        <w:rPr>
          <w:rFonts w:ascii="Verdana" w:hAnsi="Verdana"/>
          <w:lang w:val="et-EE"/>
        </w:rPr>
      </w:pPr>
      <w:r w:rsidRPr="00155D0D">
        <w:rPr>
          <w:rFonts w:ascii="Verdana" w:hAnsi="Verdana"/>
          <w:lang w:val="et-EE"/>
        </w:rPr>
        <w:t>(edaspidi mõlemad ka: Pool või Pooled), alljärgnevas:</w:t>
      </w:r>
    </w:p>
    <w:p w:rsidR="00B5234B" w:rsidRPr="00155D0D" w:rsidRDefault="00B5234B">
      <w:pPr>
        <w:numPr>
          <w:ilvl w:val="12"/>
          <w:numId w:val="0"/>
        </w:numPr>
        <w:jc w:val="both"/>
        <w:rPr>
          <w:rFonts w:ascii="Verdana" w:hAnsi="Verdana"/>
          <w:lang w:val="et-EE"/>
        </w:rPr>
      </w:pPr>
    </w:p>
    <w:p w:rsidR="00ED38BB" w:rsidRPr="00155D0D" w:rsidRDefault="00ED38BB">
      <w:pPr>
        <w:numPr>
          <w:ilvl w:val="12"/>
          <w:numId w:val="0"/>
        </w:numPr>
        <w:jc w:val="both"/>
        <w:rPr>
          <w:rFonts w:ascii="Verdana" w:hAnsi="Verdana"/>
          <w:lang w:val="et-EE"/>
        </w:rPr>
      </w:pPr>
    </w:p>
    <w:p w:rsidR="00B5234B" w:rsidRPr="00155D0D" w:rsidRDefault="000D0CC3">
      <w:pPr>
        <w:numPr>
          <w:ilvl w:val="0"/>
          <w:numId w:val="1"/>
        </w:numPr>
        <w:ind w:left="0" w:firstLine="0"/>
        <w:jc w:val="both"/>
        <w:rPr>
          <w:rFonts w:ascii="Verdana" w:hAnsi="Verdana"/>
          <w:b/>
          <w:lang w:val="et-EE"/>
        </w:rPr>
      </w:pPr>
      <w:r w:rsidRPr="00155D0D">
        <w:rPr>
          <w:rFonts w:ascii="Verdana" w:hAnsi="Verdana"/>
          <w:b/>
          <w:lang w:val="et-EE"/>
        </w:rPr>
        <w:t>Lepingu ese</w:t>
      </w:r>
    </w:p>
    <w:p w:rsidR="00B5234B" w:rsidRPr="00155D0D" w:rsidRDefault="00B5234B">
      <w:pPr>
        <w:numPr>
          <w:ilvl w:val="12"/>
          <w:numId w:val="0"/>
        </w:numPr>
        <w:jc w:val="both"/>
        <w:rPr>
          <w:rFonts w:ascii="Verdana" w:hAnsi="Verdana"/>
          <w:b/>
          <w:lang w:val="et-EE"/>
        </w:rPr>
      </w:pPr>
    </w:p>
    <w:p w:rsidR="00B5234B" w:rsidRPr="00155D0D" w:rsidRDefault="00B5234B">
      <w:pPr>
        <w:ind w:left="851" w:hanging="851"/>
        <w:jc w:val="both"/>
        <w:rPr>
          <w:rFonts w:ascii="Verdana" w:hAnsi="Verdana"/>
          <w:lang w:val="et-EE"/>
        </w:rPr>
      </w:pPr>
      <w:r w:rsidRPr="00155D0D">
        <w:rPr>
          <w:rFonts w:ascii="Verdana" w:hAnsi="Verdana"/>
          <w:lang w:val="et-EE"/>
        </w:rPr>
        <w:t>1.1.</w:t>
      </w:r>
      <w:r w:rsidRPr="00155D0D">
        <w:rPr>
          <w:rFonts w:ascii="Verdana" w:hAnsi="Verdana"/>
          <w:lang w:val="et-EE"/>
        </w:rPr>
        <w:tab/>
        <w:t xml:space="preserve">Lepingu eesmärgiks on Emitendi </w:t>
      </w:r>
      <w:r w:rsidR="00413E61" w:rsidRPr="00155D0D">
        <w:rPr>
          <w:rFonts w:ascii="Verdana" w:hAnsi="Verdana"/>
          <w:highlight w:val="lightGray"/>
          <w:lang w:val="et-EE"/>
        </w:rPr>
        <w:t>aktsiate</w:t>
      </w:r>
      <w:r w:rsidR="00155D0D" w:rsidRPr="00155D0D">
        <w:rPr>
          <w:rFonts w:ascii="Verdana" w:hAnsi="Verdana"/>
          <w:highlight w:val="lightGray"/>
          <w:lang w:val="et-EE"/>
        </w:rPr>
        <w:t>/võlakirjade/fondiosakute</w:t>
      </w:r>
      <w:r w:rsidR="00354BFB" w:rsidRPr="00155D0D">
        <w:rPr>
          <w:rFonts w:ascii="Verdana" w:hAnsi="Verdana"/>
          <w:lang w:val="et-EE"/>
        </w:rPr>
        <w:t xml:space="preserve"> </w:t>
      </w:r>
      <w:r w:rsidR="00CD0F00" w:rsidRPr="00155D0D">
        <w:rPr>
          <w:rFonts w:ascii="Verdana" w:hAnsi="Verdana"/>
          <w:lang w:val="et-EE"/>
        </w:rPr>
        <w:t xml:space="preserve">noteerimisest ja </w:t>
      </w:r>
      <w:r w:rsidR="00840B06" w:rsidRPr="00155D0D">
        <w:rPr>
          <w:rFonts w:ascii="Verdana" w:hAnsi="Verdana"/>
          <w:lang w:val="et-EE"/>
        </w:rPr>
        <w:t xml:space="preserve">kauplemisele võtmisest </w:t>
      </w:r>
      <w:r w:rsidR="009D0409" w:rsidRPr="00155D0D">
        <w:rPr>
          <w:rFonts w:ascii="Verdana" w:hAnsi="Verdana"/>
          <w:lang w:val="et-EE"/>
        </w:rPr>
        <w:t xml:space="preserve">(edaspidi mõlemad koos: kauplemisele võtmine) </w:t>
      </w:r>
      <w:r w:rsidR="00840B06" w:rsidRPr="00155D0D">
        <w:rPr>
          <w:rFonts w:ascii="Verdana" w:hAnsi="Verdana"/>
          <w:lang w:val="et-EE"/>
        </w:rPr>
        <w:t xml:space="preserve">Börsi poolt korraldatavale </w:t>
      </w:r>
      <w:r w:rsidR="00CD0F00" w:rsidRPr="00155D0D">
        <w:rPr>
          <w:rFonts w:ascii="Verdana" w:hAnsi="Verdana"/>
          <w:lang w:val="et-EE"/>
        </w:rPr>
        <w:t xml:space="preserve">väärtpaberibörsile </w:t>
      </w:r>
      <w:r w:rsidRPr="00155D0D">
        <w:rPr>
          <w:rFonts w:ascii="Verdana" w:hAnsi="Verdana"/>
          <w:lang w:val="et-EE"/>
        </w:rPr>
        <w:t>tulenevate Poolte õiguste ja kohustuste reguleerimine.</w:t>
      </w:r>
    </w:p>
    <w:p w:rsidR="00B5234B" w:rsidRPr="00155D0D" w:rsidRDefault="00B5234B">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1.2.</w:t>
      </w:r>
      <w:r w:rsidRPr="00155D0D">
        <w:rPr>
          <w:rFonts w:ascii="Verdana" w:hAnsi="Verdana"/>
          <w:lang w:val="et-EE"/>
        </w:rPr>
        <w:tab/>
        <w:t xml:space="preserve">Lepingu sätted kehtivad </w:t>
      </w:r>
      <w:r w:rsidR="00480BF7" w:rsidRPr="00155D0D">
        <w:rPr>
          <w:rFonts w:ascii="Verdana" w:hAnsi="Verdana"/>
          <w:lang w:val="et-EE"/>
        </w:rPr>
        <w:t xml:space="preserve">lisaks punktis 1.1. nimetatule </w:t>
      </w:r>
      <w:r w:rsidRPr="00155D0D">
        <w:rPr>
          <w:rFonts w:ascii="Verdana" w:hAnsi="Verdana"/>
          <w:lang w:val="et-EE"/>
        </w:rPr>
        <w:t xml:space="preserve">ka kõigi </w:t>
      </w:r>
      <w:r w:rsidR="000D0CC3" w:rsidRPr="00155D0D">
        <w:rPr>
          <w:rFonts w:ascii="Verdana" w:hAnsi="Verdana"/>
          <w:lang w:val="et-EE"/>
        </w:rPr>
        <w:t xml:space="preserve">edaspidi </w:t>
      </w:r>
      <w:r w:rsidRPr="00155D0D">
        <w:rPr>
          <w:rFonts w:ascii="Verdana" w:hAnsi="Verdana"/>
          <w:lang w:val="et-EE"/>
        </w:rPr>
        <w:t xml:space="preserve">Emitendi poolt emiteeritud või emiteeritavate väärtpaberite </w:t>
      </w:r>
      <w:r w:rsidR="00480BF7" w:rsidRPr="00155D0D">
        <w:rPr>
          <w:rFonts w:ascii="Verdana" w:hAnsi="Verdana"/>
          <w:lang w:val="et-EE"/>
        </w:rPr>
        <w:t xml:space="preserve">(edaspidi: Väärtpaberid) </w:t>
      </w:r>
      <w:r w:rsidR="00840B06" w:rsidRPr="00155D0D">
        <w:rPr>
          <w:rFonts w:ascii="Verdana" w:hAnsi="Verdana"/>
          <w:lang w:val="et-EE"/>
        </w:rPr>
        <w:t xml:space="preserve">kauplemisele võtmise </w:t>
      </w:r>
      <w:r w:rsidRPr="00155D0D">
        <w:rPr>
          <w:rFonts w:ascii="Verdana" w:hAnsi="Verdana"/>
          <w:lang w:val="et-EE"/>
        </w:rPr>
        <w:t>ja sellest tulenevate Poolte õig</w:t>
      </w:r>
      <w:r w:rsidR="00840B06" w:rsidRPr="00155D0D">
        <w:rPr>
          <w:rFonts w:ascii="Verdana" w:hAnsi="Verdana"/>
          <w:lang w:val="et-EE"/>
        </w:rPr>
        <w:t>uste ja kohustuste suhtes</w:t>
      </w:r>
      <w:r w:rsidR="00CD0F00" w:rsidRPr="00155D0D">
        <w:rPr>
          <w:rFonts w:ascii="Verdana" w:hAnsi="Verdana"/>
          <w:lang w:val="et-EE"/>
        </w:rPr>
        <w:t xml:space="preserve"> Börsi poolt korraldatavatel turgudel</w:t>
      </w:r>
      <w:r w:rsidR="000D0CC3" w:rsidRPr="00155D0D">
        <w:rPr>
          <w:rFonts w:ascii="Verdana" w:hAnsi="Verdana"/>
          <w:lang w:val="et-EE"/>
        </w:rPr>
        <w:t xml:space="preserve">. Juhul, kui Emitendi </w:t>
      </w:r>
      <w:r w:rsidR="00B47BA8" w:rsidRPr="00155D0D">
        <w:rPr>
          <w:rFonts w:ascii="Verdana" w:hAnsi="Verdana"/>
          <w:lang w:val="et-EE"/>
        </w:rPr>
        <w:t>V</w:t>
      </w:r>
      <w:r w:rsidR="000D0CC3" w:rsidRPr="00155D0D">
        <w:rPr>
          <w:rFonts w:ascii="Verdana" w:hAnsi="Verdana"/>
          <w:lang w:val="et-EE"/>
        </w:rPr>
        <w:t xml:space="preserve">äärtpaberitega kaubeldakse lisaks ka Börsi poolt korraldataval muul turul, kehtivad nende </w:t>
      </w:r>
      <w:r w:rsidR="00B47BA8" w:rsidRPr="00155D0D">
        <w:rPr>
          <w:rFonts w:ascii="Verdana" w:hAnsi="Verdana"/>
          <w:lang w:val="et-EE"/>
        </w:rPr>
        <w:t>V</w:t>
      </w:r>
      <w:r w:rsidR="000D0CC3" w:rsidRPr="00155D0D">
        <w:rPr>
          <w:rFonts w:ascii="Verdana" w:hAnsi="Verdana"/>
          <w:lang w:val="et-EE"/>
        </w:rPr>
        <w:t>äärtpaberite suhtes Lepingu ja Reglemendi sätted Emitendi suhtes Reglemendis sätestatud erisustega.</w:t>
      </w:r>
    </w:p>
    <w:p w:rsidR="000D0CC3" w:rsidRPr="00155D0D" w:rsidRDefault="000D0CC3">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1.3.</w:t>
      </w:r>
      <w:r w:rsidRPr="00155D0D">
        <w:rPr>
          <w:rFonts w:ascii="Verdana" w:hAnsi="Verdana"/>
          <w:lang w:val="et-EE"/>
        </w:rPr>
        <w:tab/>
        <w:t>Käesoleva Lepingu sätted ei laiene Emitendi poolt emiteeritud väärtpaberitele, millega ei kaubelda Börsil</w:t>
      </w:r>
      <w:r w:rsidR="00840B06" w:rsidRPr="00155D0D">
        <w:rPr>
          <w:rFonts w:ascii="Verdana" w:hAnsi="Verdana"/>
          <w:lang w:val="et-EE"/>
        </w:rPr>
        <w:t xml:space="preserve"> poolt korraldatavatel turgudel</w:t>
      </w:r>
      <w:r w:rsidRPr="00155D0D">
        <w:rPr>
          <w:rFonts w:ascii="Verdana" w:hAnsi="Verdana"/>
          <w:lang w:val="et-EE"/>
        </w:rPr>
        <w:t>.</w:t>
      </w:r>
    </w:p>
    <w:p w:rsidR="00CD0F00" w:rsidRPr="00155D0D" w:rsidRDefault="00CD0F00" w:rsidP="00CD0F00">
      <w:pPr>
        <w:jc w:val="both"/>
        <w:rPr>
          <w:rFonts w:ascii="Verdana" w:hAnsi="Verdana"/>
          <w:lang w:val="et-EE"/>
        </w:rPr>
      </w:pPr>
    </w:p>
    <w:p w:rsidR="00CD0F00" w:rsidRPr="00155D0D" w:rsidRDefault="00CD0F00" w:rsidP="00CD0F00">
      <w:pPr>
        <w:ind w:left="851" w:hanging="851"/>
        <w:jc w:val="both"/>
        <w:rPr>
          <w:rFonts w:ascii="Verdana" w:hAnsi="Verdana"/>
          <w:lang w:val="et-EE"/>
        </w:rPr>
      </w:pPr>
      <w:r w:rsidRPr="00155D0D">
        <w:rPr>
          <w:rFonts w:ascii="Verdana" w:hAnsi="Verdana"/>
          <w:lang w:val="et-EE"/>
        </w:rPr>
        <w:t xml:space="preserve">1.4. </w:t>
      </w:r>
      <w:r w:rsidRPr="00155D0D">
        <w:rPr>
          <w:rFonts w:ascii="Verdana" w:hAnsi="Verdana"/>
          <w:lang w:val="et-EE"/>
        </w:rPr>
        <w:tab/>
        <w:t xml:space="preserve">Pooled kinnitavad, et </w:t>
      </w:r>
      <w:r w:rsidR="00354BFB" w:rsidRPr="00155D0D">
        <w:rPr>
          <w:rFonts w:ascii="Verdana" w:hAnsi="Verdana"/>
          <w:lang w:val="et-EE"/>
        </w:rPr>
        <w:t xml:space="preserve">esmase </w:t>
      </w:r>
      <w:r w:rsidRPr="00155D0D">
        <w:rPr>
          <w:rFonts w:ascii="Verdana" w:hAnsi="Verdana"/>
          <w:lang w:val="et-EE"/>
        </w:rPr>
        <w:t>otsuse Emitendi Väärtpaberite noteerimise kohta tegi Börsi noteerimisorgan</w:t>
      </w:r>
      <w:r w:rsidR="00354BFB" w:rsidRPr="00155D0D">
        <w:rPr>
          <w:rFonts w:ascii="Verdana" w:hAnsi="Verdana"/>
          <w:lang w:val="et-EE"/>
        </w:rPr>
        <w:t xml:space="preserve"> </w:t>
      </w:r>
      <w:r w:rsidR="00155D0D" w:rsidRPr="00155D0D">
        <w:rPr>
          <w:rFonts w:ascii="Verdana" w:hAnsi="Verdana"/>
          <w:highlight w:val="lightGray"/>
          <w:lang w:val="et-EE"/>
        </w:rPr>
        <w:t>[pp.kk.aaaa]</w:t>
      </w:r>
      <w:r w:rsidR="00ED394E" w:rsidRPr="00155D0D">
        <w:rPr>
          <w:rFonts w:ascii="Verdana" w:hAnsi="Verdana"/>
          <w:lang w:val="et-EE"/>
        </w:rPr>
        <w:t xml:space="preserve"> </w:t>
      </w:r>
      <w:r w:rsidRPr="00155D0D">
        <w:rPr>
          <w:rFonts w:ascii="Verdana" w:hAnsi="Verdana"/>
          <w:lang w:val="et-EE"/>
        </w:rPr>
        <w:t xml:space="preserve">a. ning </w:t>
      </w:r>
      <w:r w:rsidR="00480BF7" w:rsidRPr="00155D0D">
        <w:rPr>
          <w:rFonts w:ascii="Verdana" w:hAnsi="Verdana"/>
          <w:lang w:val="et-EE"/>
        </w:rPr>
        <w:t>V</w:t>
      </w:r>
      <w:r w:rsidRPr="00155D0D">
        <w:rPr>
          <w:rFonts w:ascii="Verdana" w:hAnsi="Verdana"/>
          <w:lang w:val="et-EE"/>
        </w:rPr>
        <w:t>äärtpaberite esimene noteerimis- ja kauplemispäev on</w:t>
      </w:r>
      <w:r w:rsidR="00354BFB" w:rsidRPr="00155D0D">
        <w:rPr>
          <w:rFonts w:ascii="Verdana" w:hAnsi="Verdana"/>
          <w:lang w:val="et-EE"/>
        </w:rPr>
        <w:t xml:space="preserve"> </w:t>
      </w:r>
      <w:r w:rsidR="00155D0D" w:rsidRPr="00155D0D">
        <w:rPr>
          <w:rFonts w:ascii="Verdana" w:hAnsi="Verdana"/>
          <w:highlight w:val="lightGray"/>
          <w:lang w:val="et-EE"/>
        </w:rPr>
        <w:t>[pp.kk.aaaa]</w:t>
      </w:r>
      <w:r w:rsidR="005C0F24" w:rsidRPr="00155D0D">
        <w:rPr>
          <w:rFonts w:ascii="Verdana" w:hAnsi="Verdana"/>
          <w:lang w:val="et-EE"/>
        </w:rPr>
        <w:t xml:space="preserve"> </w:t>
      </w:r>
      <w:r w:rsidRPr="00155D0D">
        <w:rPr>
          <w:rFonts w:ascii="Verdana" w:hAnsi="Verdana"/>
          <w:lang w:val="et-EE"/>
        </w:rPr>
        <w:t xml:space="preserve">a. </w:t>
      </w:r>
    </w:p>
    <w:p w:rsidR="00CD0F00" w:rsidRPr="00155D0D" w:rsidRDefault="00CD0F00" w:rsidP="00ED38BB">
      <w:pPr>
        <w:ind w:left="851" w:hanging="851"/>
        <w:jc w:val="both"/>
        <w:rPr>
          <w:rFonts w:ascii="Verdana" w:hAnsi="Verdana"/>
          <w:lang w:val="et-EE"/>
        </w:rPr>
      </w:pPr>
    </w:p>
    <w:p w:rsidR="00B35F50" w:rsidRPr="00155D0D" w:rsidRDefault="00B35F50" w:rsidP="00ED38BB">
      <w:pPr>
        <w:ind w:left="851" w:hanging="851"/>
        <w:jc w:val="both"/>
        <w:rPr>
          <w:rFonts w:ascii="Verdana" w:hAnsi="Verdana"/>
          <w:lang w:val="et-EE"/>
        </w:rPr>
      </w:pPr>
    </w:p>
    <w:p w:rsidR="00B5234B" w:rsidRPr="00155D0D" w:rsidRDefault="00B5234B" w:rsidP="007117DD">
      <w:pPr>
        <w:keepNext/>
        <w:jc w:val="both"/>
        <w:rPr>
          <w:rFonts w:ascii="Verdana" w:hAnsi="Verdana"/>
          <w:b/>
          <w:lang w:val="et-EE"/>
        </w:rPr>
      </w:pPr>
      <w:r w:rsidRPr="00155D0D">
        <w:rPr>
          <w:rFonts w:ascii="Verdana" w:hAnsi="Verdana"/>
          <w:b/>
          <w:lang w:val="et-EE"/>
        </w:rPr>
        <w:lastRenderedPageBreak/>
        <w:t>2.</w:t>
      </w:r>
      <w:r w:rsidRPr="00155D0D">
        <w:rPr>
          <w:rFonts w:ascii="Verdana" w:hAnsi="Verdana"/>
          <w:b/>
          <w:lang w:val="et-EE"/>
        </w:rPr>
        <w:tab/>
        <w:t>Poolte kohustused</w:t>
      </w:r>
    </w:p>
    <w:p w:rsidR="00B5234B" w:rsidRPr="00155D0D" w:rsidRDefault="00B5234B" w:rsidP="007117DD">
      <w:pPr>
        <w:keepNext/>
        <w:jc w:val="both"/>
        <w:rPr>
          <w:rFonts w:ascii="Verdana" w:hAnsi="Verdana"/>
          <w:lang w:val="et-EE"/>
        </w:rPr>
      </w:pPr>
    </w:p>
    <w:p w:rsidR="00B5234B" w:rsidRPr="00155D0D" w:rsidRDefault="00B5234B" w:rsidP="007117DD">
      <w:pPr>
        <w:keepNext/>
        <w:ind w:left="851" w:hanging="851"/>
        <w:jc w:val="both"/>
        <w:rPr>
          <w:rFonts w:ascii="Verdana" w:hAnsi="Verdana"/>
          <w:lang w:val="et-EE"/>
        </w:rPr>
      </w:pPr>
      <w:r w:rsidRPr="00155D0D">
        <w:rPr>
          <w:rFonts w:ascii="Verdana" w:hAnsi="Verdana"/>
          <w:lang w:val="et-EE"/>
        </w:rPr>
        <w:t>2.1.</w:t>
      </w:r>
      <w:r w:rsidRPr="00155D0D">
        <w:rPr>
          <w:rFonts w:ascii="Verdana" w:hAnsi="Verdana"/>
          <w:lang w:val="et-EE"/>
        </w:rPr>
        <w:tab/>
        <w:t>Käesoleva</w:t>
      </w:r>
      <w:r w:rsidR="002F3DFB" w:rsidRPr="00155D0D">
        <w:rPr>
          <w:rFonts w:ascii="Verdana" w:hAnsi="Verdana"/>
          <w:lang w:val="et-EE"/>
        </w:rPr>
        <w:t>ga kinnitavad Pooled, et Börsi reglement ja kõik muud Börsi r</w:t>
      </w:r>
      <w:r w:rsidRPr="00155D0D">
        <w:rPr>
          <w:rFonts w:ascii="Verdana" w:hAnsi="Verdana"/>
          <w:lang w:val="et-EE"/>
        </w:rPr>
        <w:t>eglemendi alusel Börsi poolt vastu võetud ja kehtestatud Börsi tegevust ja/või väärtpabe</w:t>
      </w:r>
      <w:r w:rsidR="002F3DFB" w:rsidRPr="00155D0D">
        <w:rPr>
          <w:rFonts w:ascii="Verdana" w:hAnsi="Verdana"/>
          <w:lang w:val="et-EE"/>
        </w:rPr>
        <w:t xml:space="preserve">ritega </w:t>
      </w:r>
      <w:r w:rsidR="00FB3A3D" w:rsidRPr="00155D0D">
        <w:rPr>
          <w:rFonts w:ascii="Verdana" w:hAnsi="Verdana"/>
          <w:lang w:val="et-EE"/>
        </w:rPr>
        <w:t xml:space="preserve">kauplemist </w:t>
      </w:r>
      <w:r w:rsidRPr="00155D0D">
        <w:rPr>
          <w:rFonts w:ascii="Verdana" w:hAnsi="Verdana"/>
          <w:lang w:val="et-EE"/>
        </w:rPr>
        <w:t>reguleerivad Eesti Vabariigi  õigusaktidega kooskõlas olevad aktid (edaspidi koos ja ühiselt: Reglement) on käeso</w:t>
      </w:r>
      <w:r w:rsidR="00B60D86" w:rsidRPr="00155D0D">
        <w:rPr>
          <w:rFonts w:ascii="Verdana" w:hAnsi="Verdana"/>
          <w:lang w:val="et-EE"/>
        </w:rPr>
        <w:t>leva Lepingu lahutamatuks osaks ning</w:t>
      </w:r>
      <w:r w:rsidRPr="00155D0D">
        <w:rPr>
          <w:rFonts w:ascii="Verdana" w:hAnsi="Verdana"/>
          <w:lang w:val="et-EE"/>
        </w:rPr>
        <w:t xml:space="preserve"> et Leping ja Reglement moodustavad ühtse ja tervikliku lepingu, mille kõik sätted on Pooltele siduvad ja nendele täitmiseks kohustuslikud.</w:t>
      </w:r>
    </w:p>
    <w:p w:rsidR="00B5234B" w:rsidRPr="00155D0D" w:rsidRDefault="00B5234B">
      <w:pPr>
        <w:numPr>
          <w:ilvl w:val="12"/>
          <w:numId w:val="0"/>
        </w:numPr>
        <w:jc w:val="both"/>
        <w:rPr>
          <w:rFonts w:ascii="Verdana" w:hAnsi="Verdana"/>
          <w:lang w:val="et-EE"/>
        </w:rPr>
      </w:pPr>
    </w:p>
    <w:p w:rsidR="009E5800" w:rsidRPr="00155D0D" w:rsidRDefault="00B5234B" w:rsidP="009E5800">
      <w:pPr>
        <w:pStyle w:val="BodyTextIndent"/>
      </w:pPr>
      <w:r w:rsidRPr="00155D0D">
        <w:t>2.2.</w:t>
      </w:r>
      <w:r w:rsidRPr="00155D0D">
        <w:tab/>
        <w:t xml:space="preserve">Käesolevaga kohustub Emitent nõuetekohaselt ja tähtaegselt täitma kõiki Lepingu ja Reglemendiga tema suhtes kehtestatud kohustusi ning Börsi poolt Emitenditele kooskõlas Reglemendi sätetega pandud kohustusi. </w:t>
      </w:r>
    </w:p>
    <w:p w:rsidR="009E5800" w:rsidRPr="00155D0D" w:rsidRDefault="009E5800" w:rsidP="009E5800">
      <w:pPr>
        <w:pStyle w:val="BodyTextIndent"/>
      </w:pPr>
    </w:p>
    <w:p w:rsidR="009E5800" w:rsidRPr="00155D0D" w:rsidRDefault="009E5800" w:rsidP="009E5800">
      <w:pPr>
        <w:pStyle w:val="BodyTextIndent"/>
      </w:pPr>
      <w:r w:rsidRPr="00155D0D">
        <w:t>2.3.</w:t>
      </w:r>
      <w:r w:rsidRPr="00155D0D">
        <w:tab/>
        <w:t xml:space="preserve">Käesolevaga kohustub Börs korraldama </w:t>
      </w:r>
      <w:r w:rsidR="00354BFB" w:rsidRPr="00155D0D">
        <w:t xml:space="preserve">väärtpaberibörsi ja </w:t>
      </w:r>
      <w:r w:rsidRPr="00155D0D">
        <w:t>reguleeritud turgu kooskõlas kehtiva seaduse ja Reglemendiga.</w:t>
      </w:r>
    </w:p>
    <w:p w:rsidR="00B5234B" w:rsidRPr="00155D0D" w:rsidRDefault="00B5234B">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2.</w:t>
      </w:r>
      <w:r w:rsidR="009E5800" w:rsidRPr="00155D0D">
        <w:rPr>
          <w:rFonts w:ascii="Verdana" w:hAnsi="Verdana"/>
          <w:lang w:val="et-EE"/>
        </w:rPr>
        <w:t>4</w:t>
      </w:r>
      <w:r w:rsidRPr="00155D0D">
        <w:rPr>
          <w:rFonts w:ascii="Verdana" w:hAnsi="Verdana"/>
          <w:lang w:val="et-EE"/>
        </w:rPr>
        <w:t>.</w:t>
      </w:r>
      <w:r w:rsidRPr="00155D0D">
        <w:rPr>
          <w:rFonts w:ascii="Verdana" w:hAnsi="Verdana"/>
          <w:lang w:val="et-EE"/>
        </w:rPr>
        <w:tab/>
      </w:r>
      <w:r w:rsidR="000D0CC3" w:rsidRPr="00155D0D">
        <w:rPr>
          <w:rFonts w:ascii="Verdana" w:hAnsi="Verdana"/>
          <w:lang w:val="et-EE"/>
        </w:rPr>
        <w:t>Emitent aktsepteerib, et Börsil on igal ajal õigus ühepoolselt ja ilma Emitendi nõusolekuta ning ilma viimasega kooskõlastamata muuta ja täiendada Reglementi ning et tehtavad muudatused ja täiendused ei too kaasa Lepingu muutumist ega lõppemist ega avalda muul viisil mõju Lepingu kehtivusele selle Poolte suhtes ega Väärtpaberitega kauplemisele</w:t>
      </w:r>
      <w:r w:rsidR="006E6C71" w:rsidRPr="00155D0D">
        <w:rPr>
          <w:rFonts w:ascii="Verdana" w:hAnsi="Verdana"/>
          <w:lang w:val="et-EE"/>
        </w:rPr>
        <w:t xml:space="preserve"> Börsi poolt korraldatavatel turgudel</w:t>
      </w:r>
      <w:r w:rsidR="000D0CC3" w:rsidRPr="00155D0D">
        <w:rPr>
          <w:rFonts w:ascii="Verdana" w:hAnsi="Verdana"/>
          <w:lang w:val="et-EE"/>
        </w:rPr>
        <w:t xml:space="preserve">.  </w:t>
      </w:r>
      <w:r w:rsidR="000177F7" w:rsidRPr="00155D0D">
        <w:rPr>
          <w:rFonts w:ascii="Verdana" w:hAnsi="Verdana"/>
          <w:lang w:val="et-EE"/>
        </w:rPr>
        <w:t>Kõik Börsi poolt Reglemendis tehtavad muudatused ja täiendused jõustuvad poolte suhtes Börsi poolt määratud ajal ja korras, kuid mitte enne nende avaldamist õigusaktides sätestatud korras.</w:t>
      </w:r>
    </w:p>
    <w:p w:rsidR="00B5234B" w:rsidRPr="00155D0D" w:rsidRDefault="00B5234B">
      <w:pPr>
        <w:jc w:val="both"/>
        <w:rPr>
          <w:rFonts w:ascii="Verdana" w:hAnsi="Verdana"/>
          <w:lang w:val="et-EE"/>
        </w:rPr>
      </w:pPr>
    </w:p>
    <w:p w:rsidR="00B5234B" w:rsidRPr="00155D0D" w:rsidRDefault="00B60D86" w:rsidP="000D0CC3">
      <w:pPr>
        <w:ind w:left="851" w:hanging="851"/>
        <w:jc w:val="both"/>
        <w:rPr>
          <w:rFonts w:ascii="Verdana" w:hAnsi="Verdana"/>
          <w:lang w:val="et-EE"/>
        </w:rPr>
      </w:pPr>
      <w:r w:rsidRPr="00155D0D">
        <w:rPr>
          <w:rFonts w:ascii="Verdana" w:hAnsi="Verdana"/>
          <w:lang w:val="et-EE"/>
        </w:rPr>
        <w:t>2.</w:t>
      </w:r>
      <w:r w:rsidR="009E5800" w:rsidRPr="00155D0D">
        <w:rPr>
          <w:rFonts w:ascii="Verdana" w:hAnsi="Verdana"/>
          <w:lang w:val="et-EE"/>
        </w:rPr>
        <w:t>5</w:t>
      </w:r>
      <w:r w:rsidRPr="00155D0D">
        <w:rPr>
          <w:rFonts w:ascii="Verdana" w:hAnsi="Verdana"/>
          <w:lang w:val="et-EE"/>
        </w:rPr>
        <w:t>.</w:t>
      </w:r>
      <w:r w:rsidRPr="00155D0D">
        <w:rPr>
          <w:rFonts w:ascii="Verdana" w:hAnsi="Verdana"/>
          <w:lang w:val="et-EE"/>
        </w:rPr>
        <w:tab/>
      </w:r>
      <w:r w:rsidR="000D0CC3" w:rsidRPr="00155D0D">
        <w:rPr>
          <w:rFonts w:ascii="Verdana" w:hAnsi="Verdana"/>
          <w:lang w:val="et-EE"/>
        </w:rPr>
        <w:t>Emitent aktsepteerib Börsi ning tema organite õigust teha Emitendile ettekirjutusi Lepingu ja Reglemendi rikkumiste kõrvaldamiseks. Käesolevaga kohustub Emitent viivitamatult täitma kõik Börsi poolt Eesti Vabariigi õigusaktide ja/või Börsi Reglemendi alusel tehtud ettekirjutused ja Börsi poolt Emitendile eelnimetatud õigusaktide alusel pandud kohustused seoses Lepingu või Reglemendi mittetäitmise või mittenõuetekohase täitmisega.</w:t>
      </w:r>
    </w:p>
    <w:p w:rsidR="000D0CC3" w:rsidRPr="00155D0D" w:rsidRDefault="000D0CC3" w:rsidP="000D0CC3">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2.</w:t>
      </w:r>
      <w:r w:rsidR="009E5800" w:rsidRPr="00155D0D">
        <w:rPr>
          <w:rFonts w:ascii="Verdana" w:hAnsi="Verdana"/>
          <w:lang w:val="et-EE"/>
        </w:rPr>
        <w:t>6</w:t>
      </w:r>
      <w:r w:rsidRPr="00155D0D">
        <w:rPr>
          <w:rFonts w:ascii="Verdana" w:hAnsi="Verdana"/>
          <w:lang w:val="et-EE"/>
        </w:rPr>
        <w:t>.</w:t>
      </w:r>
      <w:r w:rsidRPr="00155D0D">
        <w:rPr>
          <w:rFonts w:ascii="Verdana" w:hAnsi="Verdana"/>
          <w:lang w:val="et-EE"/>
        </w:rPr>
        <w:tab/>
        <w:t>Emitent kohustub tasuma kõik Börsi poolt kooskõlas Reglemendiga kehtestatud või kehtestatavaid tasusid (edaspidi: Teenustasud) Emitendi Väärtpaberitelt Börsi poolt kehtestatud suuruses, ajal ja tingimustel. Teenustasud on Emitent kohustatud tasuma 10 kalendripäeva jooksul peale vastava arve esitamist Börsi poolt, juhul, kui arvel ei ole fikseeritud hilisemat tasumise aega.  Kõigi õigeaegselt tasumata Teenustasude eest kohustub Emitent maksma viivist õigeaegselt tasumata summalt iga viivitatud päeva eest</w:t>
      </w:r>
      <w:r w:rsidR="00354BFB" w:rsidRPr="00155D0D">
        <w:rPr>
          <w:rFonts w:ascii="Verdana" w:hAnsi="Verdana"/>
          <w:lang w:val="et-EE"/>
        </w:rPr>
        <w:t xml:space="preserve"> Hinnakirjas sätestatud määras</w:t>
      </w:r>
      <w:r w:rsidRPr="00155D0D">
        <w:rPr>
          <w:rFonts w:ascii="Verdana" w:hAnsi="Verdana"/>
          <w:lang w:val="et-EE"/>
        </w:rPr>
        <w:t>.</w:t>
      </w:r>
    </w:p>
    <w:p w:rsidR="00B5234B" w:rsidRPr="00155D0D" w:rsidRDefault="00B5234B">
      <w:pPr>
        <w:numPr>
          <w:ilvl w:val="12"/>
          <w:numId w:val="0"/>
        </w:numPr>
        <w:jc w:val="both"/>
        <w:rPr>
          <w:rFonts w:ascii="Verdana" w:hAnsi="Verdana"/>
          <w:lang w:val="et-EE"/>
        </w:rPr>
      </w:pPr>
    </w:p>
    <w:p w:rsidR="00B5234B" w:rsidRPr="00155D0D" w:rsidRDefault="00B5234B">
      <w:pPr>
        <w:numPr>
          <w:ilvl w:val="12"/>
          <w:numId w:val="0"/>
        </w:numPr>
        <w:jc w:val="both"/>
        <w:rPr>
          <w:rFonts w:ascii="Verdana" w:hAnsi="Verdana"/>
          <w:lang w:val="et-EE"/>
        </w:rPr>
      </w:pPr>
    </w:p>
    <w:p w:rsidR="00B5234B" w:rsidRPr="00155D0D" w:rsidRDefault="00B5234B">
      <w:pPr>
        <w:jc w:val="both"/>
        <w:rPr>
          <w:rFonts w:ascii="Verdana" w:hAnsi="Verdana"/>
          <w:b/>
          <w:lang w:val="et-EE"/>
        </w:rPr>
      </w:pPr>
      <w:r w:rsidRPr="00155D0D">
        <w:rPr>
          <w:rFonts w:ascii="Verdana" w:hAnsi="Verdana"/>
          <w:b/>
          <w:lang w:val="et-EE"/>
        </w:rPr>
        <w:t>3.</w:t>
      </w:r>
      <w:r w:rsidRPr="00155D0D">
        <w:rPr>
          <w:rFonts w:ascii="Verdana" w:hAnsi="Verdana"/>
          <w:b/>
          <w:lang w:val="et-EE"/>
        </w:rPr>
        <w:tab/>
        <w:t>Emitendi õigused</w:t>
      </w:r>
    </w:p>
    <w:p w:rsidR="00B5234B" w:rsidRPr="00155D0D" w:rsidRDefault="00B5234B" w:rsidP="00ED38BB">
      <w:pPr>
        <w:jc w:val="both"/>
        <w:rPr>
          <w:rFonts w:ascii="Verdana" w:hAnsi="Verdana"/>
          <w:lang w:val="et-EE"/>
        </w:rPr>
      </w:pPr>
    </w:p>
    <w:p w:rsidR="00B5234B" w:rsidRPr="00155D0D" w:rsidRDefault="00ED38BB">
      <w:pPr>
        <w:ind w:left="851" w:hanging="851"/>
        <w:jc w:val="both"/>
        <w:rPr>
          <w:rFonts w:ascii="Verdana" w:hAnsi="Verdana"/>
          <w:lang w:val="et-EE"/>
        </w:rPr>
      </w:pPr>
      <w:r w:rsidRPr="00155D0D">
        <w:rPr>
          <w:rFonts w:ascii="Verdana" w:hAnsi="Verdana"/>
          <w:lang w:val="et-EE"/>
        </w:rPr>
        <w:t>3.1</w:t>
      </w:r>
      <w:r w:rsidR="00B5234B" w:rsidRPr="00155D0D">
        <w:rPr>
          <w:rFonts w:ascii="Verdana" w:hAnsi="Verdana"/>
          <w:lang w:val="et-EE"/>
        </w:rPr>
        <w:t>.</w:t>
      </w:r>
      <w:r w:rsidR="00B5234B" w:rsidRPr="00155D0D">
        <w:rPr>
          <w:rFonts w:ascii="Verdana" w:hAnsi="Verdana"/>
          <w:lang w:val="et-EE"/>
        </w:rPr>
        <w:tab/>
        <w:t>Emitendil on õigus nõuda, et Börs avaldaks õigeaegselt ja täielikult kõik Emitendi poolt Börsile edastatud andmed Emitendi, Emitendi Väärtpaberite ja tema tegevuse kohta, mis vastavalt Lepingu ja Reglemendi sätetele kuuluvad avaldamisele Börsi informatsioonisüsteemi kaudu.</w:t>
      </w:r>
    </w:p>
    <w:p w:rsidR="00B5234B" w:rsidRPr="00155D0D" w:rsidRDefault="00B5234B">
      <w:pPr>
        <w:ind w:left="851" w:hanging="851"/>
        <w:jc w:val="both"/>
        <w:rPr>
          <w:rFonts w:ascii="Verdana" w:hAnsi="Verdana"/>
          <w:lang w:val="et-EE"/>
        </w:rPr>
      </w:pPr>
    </w:p>
    <w:p w:rsidR="00B5234B" w:rsidRPr="00155D0D" w:rsidRDefault="00ED38BB">
      <w:pPr>
        <w:ind w:left="851" w:hanging="851"/>
        <w:jc w:val="both"/>
        <w:rPr>
          <w:rFonts w:ascii="Verdana" w:hAnsi="Verdana"/>
          <w:lang w:val="et-EE"/>
        </w:rPr>
      </w:pPr>
      <w:r w:rsidRPr="00155D0D">
        <w:rPr>
          <w:rFonts w:ascii="Verdana" w:hAnsi="Verdana"/>
          <w:lang w:val="et-EE"/>
        </w:rPr>
        <w:t>3.2</w:t>
      </w:r>
      <w:r w:rsidR="00B5234B" w:rsidRPr="00155D0D">
        <w:rPr>
          <w:rFonts w:ascii="Verdana" w:hAnsi="Verdana"/>
          <w:lang w:val="et-EE"/>
        </w:rPr>
        <w:t>.</w:t>
      </w:r>
      <w:r w:rsidR="00B5234B" w:rsidRPr="00155D0D">
        <w:rPr>
          <w:rFonts w:ascii="Verdana" w:hAnsi="Verdana"/>
          <w:lang w:val="et-EE"/>
        </w:rPr>
        <w:tab/>
        <w:t>Emitendil on õigus saada kooskõlas õigusaktide ja Reglemendiga Börsilt teavet</w:t>
      </w:r>
      <w:r w:rsidRPr="00155D0D">
        <w:rPr>
          <w:rFonts w:ascii="Verdana" w:hAnsi="Verdana"/>
          <w:lang w:val="et-EE"/>
        </w:rPr>
        <w:t xml:space="preserve"> Emitendi Väärtpaberitega Börsi poolt korraldatud turgudel</w:t>
      </w:r>
      <w:r w:rsidR="00B5234B" w:rsidRPr="00155D0D">
        <w:rPr>
          <w:rFonts w:ascii="Verdana" w:hAnsi="Verdana"/>
          <w:lang w:val="et-EE"/>
        </w:rPr>
        <w:t xml:space="preserve"> tehtud </w:t>
      </w:r>
      <w:r w:rsidR="00B5234B" w:rsidRPr="00155D0D">
        <w:rPr>
          <w:rFonts w:ascii="Verdana" w:hAnsi="Verdana"/>
          <w:lang w:val="et-EE"/>
        </w:rPr>
        <w:lastRenderedPageBreak/>
        <w:t>tehingute kohta ning Emitendi Väärtpaberitega tehtud tehingute hinna ja käibe statistikat.</w:t>
      </w:r>
    </w:p>
    <w:p w:rsidR="00B5234B" w:rsidRPr="00155D0D" w:rsidRDefault="00B5234B">
      <w:pPr>
        <w:ind w:left="851" w:hanging="851"/>
        <w:jc w:val="both"/>
        <w:rPr>
          <w:rFonts w:ascii="Verdana" w:hAnsi="Verdana"/>
          <w:lang w:val="et-EE"/>
        </w:rPr>
      </w:pPr>
    </w:p>
    <w:p w:rsidR="00B5234B" w:rsidRPr="00155D0D" w:rsidRDefault="00ED38BB">
      <w:pPr>
        <w:ind w:left="851" w:hanging="851"/>
        <w:jc w:val="both"/>
        <w:rPr>
          <w:rFonts w:ascii="Verdana" w:hAnsi="Verdana"/>
          <w:lang w:val="et-EE"/>
        </w:rPr>
      </w:pPr>
      <w:r w:rsidRPr="00155D0D">
        <w:rPr>
          <w:rFonts w:ascii="Verdana" w:hAnsi="Verdana"/>
          <w:lang w:val="et-EE"/>
        </w:rPr>
        <w:t>3.3</w:t>
      </w:r>
      <w:r w:rsidR="00B5234B" w:rsidRPr="00155D0D">
        <w:rPr>
          <w:rFonts w:ascii="Verdana" w:hAnsi="Verdana"/>
          <w:lang w:val="et-EE"/>
        </w:rPr>
        <w:t>.</w:t>
      </w:r>
      <w:r w:rsidR="00B5234B" w:rsidRPr="00155D0D">
        <w:rPr>
          <w:rFonts w:ascii="Verdana" w:hAnsi="Verdana"/>
          <w:lang w:val="et-EE"/>
        </w:rPr>
        <w:tab/>
        <w:t>Emitendil on õigus kaevata edasi Börsi  ja tema organite otsuste peale õigusaktides ja Reglemendis sätestatud korras.</w:t>
      </w:r>
    </w:p>
    <w:p w:rsidR="006E6C71" w:rsidRPr="00155D0D" w:rsidRDefault="006E6C71">
      <w:pPr>
        <w:ind w:left="851" w:hanging="851"/>
        <w:jc w:val="both"/>
        <w:rPr>
          <w:rFonts w:ascii="Verdana" w:hAnsi="Verdana"/>
          <w:lang w:val="et-EE"/>
        </w:rPr>
      </w:pPr>
    </w:p>
    <w:p w:rsidR="006E6C71" w:rsidRPr="00155D0D" w:rsidRDefault="006E6C71">
      <w:pPr>
        <w:ind w:left="851" w:hanging="851"/>
        <w:jc w:val="both"/>
        <w:rPr>
          <w:rFonts w:ascii="Verdana" w:hAnsi="Verdana"/>
          <w:lang w:val="et-EE"/>
        </w:rPr>
      </w:pPr>
      <w:r w:rsidRPr="00155D0D">
        <w:rPr>
          <w:rFonts w:ascii="Verdana" w:hAnsi="Verdana"/>
          <w:lang w:val="et-EE"/>
        </w:rPr>
        <w:t>3.4.</w:t>
      </w:r>
      <w:r w:rsidRPr="00155D0D">
        <w:rPr>
          <w:rFonts w:ascii="Verdana" w:hAnsi="Verdana"/>
          <w:lang w:val="et-EE"/>
        </w:rPr>
        <w:tab/>
        <w:t xml:space="preserve">Juhul, kui Börs ei rahulda Emitendi taotlust </w:t>
      </w:r>
      <w:r w:rsidR="00480BF7" w:rsidRPr="00155D0D">
        <w:rPr>
          <w:rFonts w:ascii="Verdana" w:hAnsi="Verdana"/>
          <w:lang w:val="et-EE"/>
        </w:rPr>
        <w:t>V</w:t>
      </w:r>
      <w:r w:rsidRPr="00155D0D">
        <w:rPr>
          <w:rFonts w:ascii="Verdana" w:hAnsi="Verdana"/>
          <w:lang w:val="et-EE"/>
        </w:rPr>
        <w:t xml:space="preserve">äärtpaberite täiendava noteerimise suhtes Börsil, on Emitendil õigus nõuda Börsilt kirjalikku selgitust </w:t>
      </w:r>
      <w:r w:rsidR="00480BF7" w:rsidRPr="00155D0D">
        <w:rPr>
          <w:rFonts w:ascii="Verdana" w:hAnsi="Verdana"/>
          <w:lang w:val="et-EE"/>
        </w:rPr>
        <w:t>V</w:t>
      </w:r>
      <w:r w:rsidRPr="00155D0D">
        <w:rPr>
          <w:rFonts w:ascii="Verdana" w:hAnsi="Verdana"/>
          <w:lang w:val="et-EE"/>
        </w:rPr>
        <w:t>äärtpaberite noteerimise taotluse rahuldamata jätmise põhjuste kohta.</w:t>
      </w:r>
    </w:p>
    <w:p w:rsidR="00B5234B" w:rsidRPr="00155D0D" w:rsidRDefault="00B5234B">
      <w:pPr>
        <w:numPr>
          <w:ilvl w:val="12"/>
          <w:numId w:val="0"/>
        </w:numPr>
        <w:jc w:val="both"/>
        <w:rPr>
          <w:rFonts w:ascii="Verdana" w:hAnsi="Verdana"/>
          <w:lang w:val="et-EE"/>
        </w:rPr>
      </w:pPr>
    </w:p>
    <w:p w:rsidR="00B5234B" w:rsidRPr="00155D0D" w:rsidRDefault="00B5234B">
      <w:pPr>
        <w:numPr>
          <w:ilvl w:val="12"/>
          <w:numId w:val="0"/>
        </w:numPr>
        <w:jc w:val="both"/>
        <w:rPr>
          <w:rFonts w:ascii="Verdana" w:hAnsi="Verdana"/>
          <w:lang w:val="et-EE"/>
        </w:rPr>
      </w:pPr>
    </w:p>
    <w:p w:rsidR="00B5234B" w:rsidRPr="00155D0D" w:rsidRDefault="00B5234B">
      <w:pPr>
        <w:jc w:val="both"/>
        <w:rPr>
          <w:rFonts w:ascii="Verdana" w:hAnsi="Verdana"/>
          <w:b/>
          <w:lang w:val="et-EE"/>
        </w:rPr>
      </w:pPr>
      <w:r w:rsidRPr="00155D0D">
        <w:rPr>
          <w:rFonts w:ascii="Verdana" w:hAnsi="Verdana"/>
          <w:b/>
          <w:lang w:val="et-EE"/>
        </w:rPr>
        <w:t>4.</w:t>
      </w:r>
      <w:r w:rsidRPr="00155D0D">
        <w:rPr>
          <w:rFonts w:ascii="Verdana" w:hAnsi="Verdana"/>
          <w:b/>
          <w:lang w:val="et-EE"/>
        </w:rPr>
        <w:tab/>
        <w:t xml:space="preserve"> Börsi kohustused</w:t>
      </w:r>
    </w:p>
    <w:p w:rsidR="00B5234B" w:rsidRPr="00155D0D" w:rsidRDefault="00B5234B">
      <w:pPr>
        <w:jc w:val="both"/>
        <w:rPr>
          <w:rFonts w:ascii="Verdana" w:hAnsi="Verdana"/>
          <w:b/>
          <w:lang w:val="et-EE"/>
        </w:rPr>
      </w:pPr>
    </w:p>
    <w:p w:rsidR="00B5234B" w:rsidRPr="00155D0D" w:rsidRDefault="00B5234B">
      <w:pPr>
        <w:ind w:left="851" w:hanging="851"/>
        <w:jc w:val="both"/>
        <w:rPr>
          <w:rFonts w:ascii="Verdana" w:hAnsi="Verdana"/>
          <w:lang w:val="et-EE"/>
        </w:rPr>
      </w:pPr>
      <w:r w:rsidRPr="00155D0D">
        <w:rPr>
          <w:rFonts w:ascii="Verdana" w:hAnsi="Verdana"/>
          <w:lang w:val="et-EE"/>
        </w:rPr>
        <w:t>4.1.</w:t>
      </w:r>
      <w:r w:rsidRPr="00155D0D">
        <w:rPr>
          <w:rFonts w:ascii="Verdana" w:hAnsi="Verdana"/>
          <w:lang w:val="et-EE"/>
        </w:rPr>
        <w:tab/>
        <w:t xml:space="preserve">Börs avaldab regulaarselt </w:t>
      </w:r>
      <w:r w:rsidR="00ED38BB" w:rsidRPr="00155D0D">
        <w:rPr>
          <w:rFonts w:ascii="Verdana" w:hAnsi="Verdana"/>
          <w:lang w:val="et-EE"/>
        </w:rPr>
        <w:t>õigusaktides j</w:t>
      </w:r>
      <w:r w:rsidR="000425B0" w:rsidRPr="00155D0D">
        <w:rPr>
          <w:rFonts w:ascii="Verdana" w:hAnsi="Verdana"/>
          <w:lang w:val="et-EE"/>
        </w:rPr>
        <w:t xml:space="preserve">a Reglemendis nimetatud teavet </w:t>
      </w:r>
      <w:r w:rsidRPr="00155D0D">
        <w:rPr>
          <w:rFonts w:ascii="Verdana" w:hAnsi="Verdana"/>
          <w:lang w:val="et-EE"/>
        </w:rPr>
        <w:t xml:space="preserve">tema poolt </w:t>
      </w:r>
      <w:r w:rsidR="00ED38BB" w:rsidRPr="00155D0D">
        <w:rPr>
          <w:rFonts w:ascii="Verdana" w:hAnsi="Verdana"/>
          <w:lang w:val="et-EE"/>
        </w:rPr>
        <w:t xml:space="preserve">korraldatavatel turgudel kaubeldavate </w:t>
      </w:r>
      <w:r w:rsidRPr="00155D0D">
        <w:rPr>
          <w:rFonts w:ascii="Verdana" w:hAnsi="Verdana"/>
          <w:lang w:val="et-EE"/>
        </w:rPr>
        <w:t xml:space="preserve">Emitendi Väärtpaberite </w:t>
      </w:r>
      <w:r w:rsidR="00ED38BB" w:rsidRPr="00155D0D">
        <w:rPr>
          <w:rFonts w:ascii="Verdana" w:hAnsi="Verdana"/>
          <w:lang w:val="et-EE"/>
        </w:rPr>
        <w:t>kohta, sealhulgas nende hinna,</w:t>
      </w:r>
      <w:r w:rsidRPr="00155D0D">
        <w:rPr>
          <w:rFonts w:ascii="Verdana" w:hAnsi="Verdana"/>
          <w:lang w:val="et-EE"/>
        </w:rPr>
        <w:t xml:space="preserve"> käibe ja muid olulisi andmeid Väärtpaberite ja Emitendi kohta, mis on vajalikud Emitendi ja investorite piisavaks informeerimiseks. </w:t>
      </w:r>
    </w:p>
    <w:p w:rsidR="00B5234B" w:rsidRPr="00155D0D" w:rsidRDefault="00B5234B">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4.2.</w:t>
      </w:r>
      <w:r w:rsidRPr="00155D0D">
        <w:rPr>
          <w:rFonts w:ascii="Verdana" w:hAnsi="Verdana"/>
          <w:lang w:val="et-EE"/>
        </w:rPr>
        <w:tab/>
        <w:t>Börs kohustab kõiki oma organite liikmeid, esindajaid  ja töötajaid mitte avaldama kolman</w:t>
      </w:r>
      <w:r w:rsidR="00ED38BB" w:rsidRPr="00155D0D">
        <w:rPr>
          <w:rFonts w:ascii="Verdana" w:hAnsi="Verdana"/>
          <w:lang w:val="et-EE"/>
        </w:rPr>
        <w:t>datele isikutele siseteavet ega</w:t>
      </w:r>
      <w:r w:rsidRPr="00155D0D">
        <w:rPr>
          <w:rFonts w:ascii="Verdana" w:hAnsi="Verdana"/>
          <w:lang w:val="et-EE"/>
        </w:rPr>
        <w:t xml:space="preserve"> muud konfidentsiaalset informatsiooni Emitendi või tema Väärtpaberite kohta, millest Börsi organite liikmed, esindajad või töötajad on teadlikuks saanud oma tööülesannete tõttu, välja arvatud informatsiooni edastamine järelevalveorganitele ja teistele õigustatud isikutele kehtivate õigusaktidega ette nähtud juhtudel ja korras.</w:t>
      </w:r>
    </w:p>
    <w:p w:rsidR="00B5234B" w:rsidRPr="00155D0D" w:rsidRDefault="00B5234B">
      <w:pPr>
        <w:numPr>
          <w:ilvl w:val="12"/>
          <w:numId w:val="0"/>
        </w:num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4.3.</w:t>
      </w:r>
      <w:r w:rsidRPr="00155D0D">
        <w:rPr>
          <w:rFonts w:ascii="Verdana" w:hAnsi="Verdana"/>
          <w:lang w:val="et-EE"/>
        </w:rPr>
        <w:tab/>
        <w:t>Börs on kohustatud informeerima Emitenti kõigist Börsi Reglemendis tehtavatest Emitendi suhtes kehtivatest muudatustest ja täiendustest.</w:t>
      </w:r>
    </w:p>
    <w:p w:rsidR="00B5234B" w:rsidRPr="00155D0D" w:rsidRDefault="00B5234B">
      <w:pPr>
        <w:numPr>
          <w:ilvl w:val="12"/>
          <w:numId w:val="0"/>
        </w:numPr>
        <w:jc w:val="both"/>
        <w:rPr>
          <w:rFonts w:ascii="Verdana" w:hAnsi="Verdana"/>
          <w:lang w:val="et-EE"/>
        </w:rPr>
      </w:pPr>
    </w:p>
    <w:p w:rsidR="00B5234B" w:rsidRPr="00155D0D" w:rsidRDefault="00B5234B">
      <w:pPr>
        <w:numPr>
          <w:ilvl w:val="12"/>
          <w:numId w:val="0"/>
        </w:numPr>
        <w:jc w:val="both"/>
        <w:rPr>
          <w:rFonts w:ascii="Verdana" w:hAnsi="Verdana"/>
          <w:lang w:val="et-EE"/>
        </w:rPr>
      </w:pPr>
    </w:p>
    <w:p w:rsidR="00B5234B" w:rsidRPr="00155D0D" w:rsidRDefault="00B5234B">
      <w:pPr>
        <w:jc w:val="both"/>
        <w:rPr>
          <w:rFonts w:ascii="Verdana" w:hAnsi="Verdana"/>
          <w:b/>
          <w:lang w:val="et-EE"/>
        </w:rPr>
      </w:pPr>
      <w:r w:rsidRPr="00155D0D">
        <w:rPr>
          <w:rFonts w:ascii="Verdana" w:hAnsi="Verdana"/>
          <w:b/>
          <w:lang w:val="et-EE"/>
        </w:rPr>
        <w:t>5.</w:t>
      </w:r>
      <w:r w:rsidRPr="00155D0D">
        <w:rPr>
          <w:rFonts w:ascii="Verdana" w:hAnsi="Verdana"/>
          <w:b/>
          <w:lang w:val="et-EE"/>
        </w:rPr>
        <w:tab/>
        <w:t>Börsi õigused</w:t>
      </w:r>
    </w:p>
    <w:p w:rsidR="00B5234B" w:rsidRPr="00155D0D" w:rsidRDefault="00B5234B">
      <w:pPr>
        <w:numPr>
          <w:ilvl w:val="12"/>
          <w:numId w:val="0"/>
        </w:numPr>
        <w:jc w:val="both"/>
        <w:rPr>
          <w:rFonts w:ascii="Verdana" w:hAnsi="Verdana"/>
          <w:b/>
          <w:lang w:val="et-EE"/>
        </w:rPr>
      </w:pPr>
    </w:p>
    <w:p w:rsidR="00B5234B" w:rsidRPr="00155D0D" w:rsidRDefault="00B5234B">
      <w:pPr>
        <w:pStyle w:val="BodyTextIndent"/>
      </w:pPr>
      <w:r w:rsidRPr="00155D0D">
        <w:t>5.1.</w:t>
      </w:r>
      <w:r w:rsidRPr="00155D0D">
        <w:tab/>
        <w:t>Börsi ja Börsi organite õigused Lepingu täitmisel on sätestatud</w:t>
      </w:r>
      <w:r w:rsidR="00354BFB" w:rsidRPr="00155D0D">
        <w:t xml:space="preserve"> seaduses ning</w:t>
      </w:r>
      <w:r w:rsidRPr="00155D0D">
        <w:t xml:space="preserve"> Lepingu lahutamatuks osaks olevas Reglemendis.</w:t>
      </w:r>
    </w:p>
    <w:p w:rsidR="00B5234B" w:rsidRPr="00155D0D" w:rsidRDefault="00B5234B">
      <w:pPr>
        <w:numPr>
          <w:ilvl w:val="12"/>
          <w:numId w:val="0"/>
        </w:numPr>
        <w:jc w:val="both"/>
        <w:rPr>
          <w:rFonts w:ascii="Verdana" w:hAnsi="Verdana"/>
          <w:lang w:val="et-EE"/>
        </w:rPr>
      </w:pPr>
    </w:p>
    <w:p w:rsidR="00B5234B" w:rsidRPr="00155D0D" w:rsidRDefault="00B5234B">
      <w:pPr>
        <w:numPr>
          <w:ilvl w:val="12"/>
          <w:numId w:val="0"/>
        </w:numPr>
        <w:jc w:val="both"/>
        <w:rPr>
          <w:rFonts w:ascii="Verdana" w:hAnsi="Verdana"/>
          <w:lang w:val="et-EE"/>
        </w:rPr>
      </w:pPr>
    </w:p>
    <w:p w:rsidR="00B5234B" w:rsidRPr="00155D0D" w:rsidRDefault="00B5234B">
      <w:pPr>
        <w:jc w:val="both"/>
        <w:rPr>
          <w:rFonts w:ascii="Verdana" w:hAnsi="Verdana"/>
          <w:b/>
          <w:lang w:val="et-EE"/>
        </w:rPr>
      </w:pPr>
      <w:r w:rsidRPr="00155D0D">
        <w:rPr>
          <w:rFonts w:ascii="Verdana" w:hAnsi="Verdana"/>
          <w:b/>
          <w:lang w:val="et-EE"/>
        </w:rPr>
        <w:t>6.</w:t>
      </w:r>
      <w:r w:rsidRPr="00155D0D">
        <w:rPr>
          <w:rFonts w:ascii="Verdana" w:hAnsi="Verdana"/>
          <w:b/>
          <w:lang w:val="et-EE"/>
        </w:rPr>
        <w:tab/>
        <w:t>Vaidluste lahendamine</w:t>
      </w:r>
    </w:p>
    <w:p w:rsidR="00B5234B" w:rsidRPr="00155D0D" w:rsidRDefault="00B5234B">
      <w:pPr>
        <w:jc w:val="both"/>
        <w:rPr>
          <w:rFonts w:ascii="Verdana" w:hAnsi="Verdana"/>
          <w:b/>
          <w:lang w:val="et-EE"/>
        </w:rPr>
      </w:pPr>
    </w:p>
    <w:p w:rsidR="00B5234B" w:rsidRPr="00155D0D" w:rsidRDefault="00B5234B">
      <w:pPr>
        <w:ind w:left="851" w:hanging="851"/>
        <w:jc w:val="both"/>
        <w:rPr>
          <w:rFonts w:ascii="Verdana" w:hAnsi="Verdana"/>
          <w:lang w:val="et-EE"/>
        </w:rPr>
      </w:pPr>
      <w:r w:rsidRPr="00155D0D">
        <w:rPr>
          <w:rFonts w:ascii="Verdana" w:hAnsi="Verdana"/>
          <w:lang w:val="et-EE"/>
        </w:rPr>
        <w:t>6.1.</w:t>
      </w:r>
      <w:r w:rsidRPr="00155D0D">
        <w:rPr>
          <w:rFonts w:ascii="Verdana" w:hAnsi="Verdana"/>
          <w:lang w:val="et-EE"/>
        </w:rPr>
        <w:tab/>
        <w:t>Pooled kohustuvad täitma Lepingut heas usus, tingimusteta, vajaliku hoolsusega ning vastavu</w:t>
      </w:r>
      <w:r w:rsidR="00ED38BB" w:rsidRPr="00155D0D">
        <w:rPr>
          <w:rFonts w:ascii="Verdana" w:hAnsi="Verdana"/>
          <w:lang w:val="et-EE"/>
        </w:rPr>
        <w:t>ses heade kommete ja tavadega ning vastutavad oma lepinguliste</w:t>
      </w:r>
      <w:r w:rsidRPr="00155D0D">
        <w:rPr>
          <w:rFonts w:ascii="Verdana" w:hAnsi="Verdana"/>
          <w:lang w:val="et-EE"/>
        </w:rPr>
        <w:t xml:space="preserve"> kohustuste mittetäitmise või mittekohase täitmise e</w:t>
      </w:r>
      <w:r w:rsidR="000425B0" w:rsidRPr="00155D0D">
        <w:rPr>
          <w:rFonts w:ascii="Verdana" w:hAnsi="Verdana"/>
          <w:lang w:val="et-EE"/>
        </w:rPr>
        <w:t>est, kui see põhjustas teisele P</w:t>
      </w:r>
      <w:r w:rsidRPr="00155D0D">
        <w:rPr>
          <w:rFonts w:ascii="Verdana" w:hAnsi="Verdana"/>
          <w:lang w:val="et-EE"/>
        </w:rPr>
        <w:t xml:space="preserve">oolele kahjusid, kogu oma varaga põhjustatud kahju ulatuses. Lepinguliste kohustuste </w:t>
      </w:r>
      <w:r w:rsidR="00747D34" w:rsidRPr="00155D0D">
        <w:rPr>
          <w:rFonts w:ascii="Verdana" w:hAnsi="Verdana"/>
          <w:lang w:val="et-EE"/>
        </w:rPr>
        <w:t xml:space="preserve">rikkumise </w:t>
      </w:r>
      <w:r w:rsidRPr="00155D0D">
        <w:rPr>
          <w:rFonts w:ascii="Verdana" w:hAnsi="Verdana"/>
          <w:lang w:val="et-EE"/>
        </w:rPr>
        <w:t>korra</w:t>
      </w:r>
      <w:r w:rsidR="000425B0" w:rsidRPr="00155D0D">
        <w:rPr>
          <w:rFonts w:ascii="Verdana" w:hAnsi="Verdana"/>
          <w:lang w:val="et-EE"/>
        </w:rPr>
        <w:t>l on selle tõttu kahju kandnud P</w:t>
      </w:r>
      <w:r w:rsidRPr="00155D0D">
        <w:rPr>
          <w:rFonts w:ascii="Verdana" w:hAnsi="Verdana"/>
          <w:lang w:val="et-EE"/>
        </w:rPr>
        <w:t>ool õigustatud nõu</w:t>
      </w:r>
      <w:r w:rsidR="000425B0" w:rsidRPr="00155D0D">
        <w:rPr>
          <w:rFonts w:ascii="Verdana" w:hAnsi="Verdana"/>
          <w:lang w:val="et-EE"/>
        </w:rPr>
        <w:t>dma Lepingu tingimusi rikkunud P</w:t>
      </w:r>
      <w:r w:rsidRPr="00155D0D">
        <w:rPr>
          <w:rFonts w:ascii="Verdana" w:hAnsi="Verdana"/>
          <w:lang w:val="et-EE"/>
        </w:rPr>
        <w:t>oolelt Lepingu</w:t>
      </w:r>
      <w:r w:rsidR="00ED38BB" w:rsidRPr="00155D0D">
        <w:rPr>
          <w:rFonts w:ascii="Verdana" w:hAnsi="Verdana"/>
          <w:lang w:val="et-EE"/>
        </w:rPr>
        <w:t xml:space="preserve"> rikkumisega põhjustatud kahju</w:t>
      </w:r>
      <w:r w:rsidRPr="00155D0D">
        <w:rPr>
          <w:rFonts w:ascii="Verdana" w:hAnsi="Verdana"/>
          <w:lang w:val="et-EE"/>
        </w:rPr>
        <w:t xml:space="preserve"> hüvitamist.</w:t>
      </w:r>
    </w:p>
    <w:p w:rsidR="00B5234B" w:rsidRPr="00155D0D" w:rsidRDefault="00B5234B">
      <w:pPr>
        <w:numPr>
          <w:ilvl w:val="12"/>
          <w:numId w:val="0"/>
        </w:numPr>
        <w:ind w:left="851" w:hanging="851"/>
        <w:jc w:val="both"/>
        <w:rPr>
          <w:rFonts w:ascii="Verdana" w:hAnsi="Verdana"/>
          <w:b/>
          <w:lang w:val="et-EE"/>
        </w:rPr>
      </w:pPr>
    </w:p>
    <w:p w:rsidR="00B5234B" w:rsidRPr="00155D0D" w:rsidRDefault="00B5234B">
      <w:pPr>
        <w:ind w:left="851" w:hanging="851"/>
        <w:jc w:val="both"/>
        <w:rPr>
          <w:rFonts w:ascii="Verdana" w:hAnsi="Verdana"/>
          <w:lang w:val="et-EE"/>
        </w:rPr>
      </w:pPr>
      <w:r w:rsidRPr="00155D0D">
        <w:rPr>
          <w:rFonts w:ascii="Verdana" w:hAnsi="Verdana"/>
          <w:lang w:val="et-EE"/>
        </w:rPr>
        <w:t>6.2.</w:t>
      </w:r>
      <w:r w:rsidRPr="00155D0D">
        <w:rPr>
          <w:rFonts w:ascii="Verdana" w:hAnsi="Verdana"/>
          <w:lang w:val="et-EE"/>
        </w:rPr>
        <w:tab/>
        <w:t>Kõik Lepingust ja selle lahutamatuks osaks olevast Reglemendist tulenevad  lahkarvamused ja vaidlused lahendab Bör</w:t>
      </w:r>
      <w:r w:rsidR="00747D34" w:rsidRPr="00155D0D">
        <w:rPr>
          <w:rFonts w:ascii="Verdana" w:hAnsi="Verdana"/>
          <w:lang w:val="et-EE"/>
        </w:rPr>
        <w:t>si vahekohus.</w:t>
      </w:r>
      <w:r w:rsidR="000425B0" w:rsidRPr="00155D0D">
        <w:rPr>
          <w:rFonts w:ascii="Verdana" w:hAnsi="Verdana"/>
          <w:lang w:val="et-EE"/>
        </w:rPr>
        <w:t xml:space="preserve"> Käesolevaga annavad P</w:t>
      </w:r>
      <w:r w:rsidR="00ED38BB" w:rsidRPr="00155D0D">
        <w:rPr>
          <w:rFonts w:ascii="Verdana" w:hAnsi="Verdana"/>
          <w:lang w:val="et-EE"/>
        </w:rPr>
        <w:t>ooled</w:t>
      </w:r>
      <w:r w:rsidRPr="00155D0D">
        <w:rPr>
          <w:rFonts w:ascii="Verdana" w:hAnsi="Verdana"/>
          <w:lang w:val="et-EE"/>
        </w:rPr>
        <w:t xml:space="preserve"> oma nõusoleku selle kohta, et kõigi Lepingust või Reglemendist tulenevate vaidluste lahendamine Börsi vahekohtus loetakse </w:t>
      </w:r>
      <w:r w:rsidRPr="00155D0D">
        <w:rPr>
          <w:rFonts w:ascii="Verdana" w:hAnsi="Verdana"/>
          <w:lang w:val="et-EE"/>
        </w:rPr>
        <w:lastRenderedPageBreak/>
        <w:t>vaidluse lahendamiseks vahekohtu poolt vastavalt kehtivatele õig</w:t>
      </w:r>
      <w:r w:rsidR="00ED38BB" w:rsidRPr="00155D0D">
        <w:rPr>
          <w:rFonts w:ascii="Verdana" w:hAnsi="Verdana"/>
          <w:lang w:val="et-EE"/>
        </w:rPr>
        <w:t>usak</w:t>
      </w:r>
      <w:r w:rsidR="000425B0" w:rsidRPr="00155D0D">
        <w:rPr>
          <w:rFonts w:ascii="Verdana" w:hAnsi="Verdana"/>
          <w:lang w:val="et-EE"/>
        </w:rPr>
        <w:t>tidele. Käesolevaga kinnitavad P</w:t>
      </w:r>
      <w:r w:rsidR="00ED38BB" w:rsidRPr="00155D0D">
        <w:rPr>
          <w:rFonts w:ascii="Verdana" w:hAnsi="Verdana"/>
          <w:lang w:val="et-EE"/>
        </w:rPr>
        <w:t>ooled, et tunnustavad</w:t>
      </w:r>
      <w:r w:rsidRPr="00155D0D">
        <w:rPr>
          <w:rFonts w:ascii="Verdana" w:hAnsi="Verdana"/>
          <w:lang w:val="et-EE"/>
        </w:rPr>
        <w:t xml:space="preserve"> kooskõlas </w:t>
      </w:r>
      <w:r w:rsidR="00ED38BB" w:rsidRPr="00155D0D">
        <w:rPr>
          <w:rFonts w:ascii="Verdana" w:hAnsi="Verdana"/>
          <w:lang w:val="et-EE"/>
        </w:rPr>
        <w:t>õigusaktide ja Reglemendiga või nende</w:t>
      </w:r>
      <w:r w:rsidRPr="00155D0D">
        <w:rPr>
          <w:rFonts w:ascii="Verdana" w:hAnsi="Verdana"/>
          <w:lang w:val="et-EE"/>
        </w:rPr>
        <w:t xml:space="preserve"> alusel vastu võetud muu aktiga moodustatud Börsi vahekohut kui Lepingust või Reglemendist tuleneva vaidluse lahendamiseks nõuetekohaselt moodustatud vahekohut</w:t>
      </w:r>
      <w:r w:rsidR="00ED38BB" w:rsidRPr="00155D0D">
        <w:rPr>
          <w:rFonts w:ascii="Verdana" w:hAnsi="Verdana"/>
          <w:lang w:val="et-EE"/>
        </w:rPr>
        <w:t xml:space="preserve"> ning </w:t>
      </w:r>
      <w:r w:rsidR="00747D34" w:rsidRPr="00155D0D">
        <w:rPr>
          <w:rFonts w:ascii="Verdana" w:hAnsi="Verdana"/>
          <w:lang w:val="et-EE"/>
        </w:rPr>
        <w:t>käesolev kokkulepe on käsitletav</w:t>
      </w:r>
      <w:r w:rsidR="000425B0" w:rsidRPr="00155D0D">
        <w:rPr>
          <w:rFonts w:ascii="Verdana" w:hAnsi="Verdana"/>
          <w:lang w:val="et-EE"/>
        </w:rPr>
        <w:t xml:space="preserve"> P</w:t>
      </w:r>
      <w:r w:rsidR="00ED38BB" w:rsidRPr="00155D0D">
        <w:rPr>
          <w:rFonts w:ascii="Verdana" w:hAnsi="Verdana"/>
          <w:lang w:val="et-EE"/>
        </w:rPr>
        <w:t>oolte suhtes siduva vahekohtu kokkuleppena</w:t>
      </w:r>
      <w:r w:rsidRPr="00155D0D">
        <w:rPr>
          <w:rFonts w:ascii="Verdana" w:hAnsi="Verdana"/>
          <w:lang w:val="et-EE"/>
        </w:rPr>
        <w:t xml:space="preserve">.   </w:t>
      </w:r>
    </w:p>
    <w:p w:rsidR="00B5234B" w:rsidRPr="00155D0D" w:rsidRDefault="00B5234B">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6.3.</w:t>
      </w:r>
      <w:r w:rsidRPr="00155D0D">
        <w:rPr>
          <w:rFonts w:ascii="Verdana" w:hAnsi="Verdana"/>
          <w:lang w:val="et-EE"/>
        </w:rPr>
        <w:tab/>
        <w:t xml:space="preserve">Kooskõlas Reglemendiga või selle alusel vastu võetud muu aktiga moodustatud Börsi vahekohtu kui vaidluse või lahkarvamuse lahendamiseks nõuetekohaselt </w:t>
      </w:r>
      <w:r w:rsidR="000425B0" w:rsidRPr="00155D0D">
        <w:rPr>
          <w:rFonts w:ascii="Verdana" w:hAnsi="Verdana"/>
          <w:lang w:val="et-EE"/>
        </w:rPr>
        <w:t>moodustatud vahekohtu otsus on P</w:t>
      </w:r>
      <w:r w:rsidRPr="00155D0D">
        <w:rPr>
          <w:rFonts w:ascii="Verdana" w:hAnsi="Verdana"/>
          <w:lang w:val="et-EE"/>
        </w:rPr>
        <w:t xml:space="preserve">ooltele lõplik ja siduv ning protestimisele ega  edasikaebamisele ei kuulu. </w:t>
      </w:r>
    </w:p>
    <w:p w:rsidR="00B5234B" w:rsidRPr="00155D0D" w:rsidRDefault="00B5234B">
      <w:pPr>
        <w:jc w:val="both"/>
        <w:rPr>
          <w:rFonts w:ascii="Verdana" w:hAnsi="Verdana"/>
          <w:lang w:val="et-EE"/>
        </w:rPr>
      </w:pPr>
    </w:p>
    <w:p w:rsidR="00B5234B" w:rsidRPr="00155D0D" w:rsidRDefault="00B5234B">
      <w:pPr>
        <w:jc w:val="both"/>
        <w:rPr>
          <w:rFonts w:ascii="Verdana" w:hAnsi="Verdana"/>
          <w:lang w:val="et-EE"/>
        </w:rPr>
      </w:pPr>
    </w:p>
    <w:p w:rsidR="00B5234B" w:rsidRPr="00155D0D" w:rsidRDefault="00B5234B">
      <w:pPr>
        <w:jc w:val="both"/>
        <w:rPr>
          <w:rFonts w:ascii="Verdana" w:hAnsi="Verdana"/>
          <w:b/>
          <w:lang w:val="et-EE"/>
        </w:rPr>
      </w:pPr>
      <w:r w:rsidRPr="00155D0D">
        <w:rPr>
          <w:rFonts w:ascii="Verdana" w:hAnsi="Verdana"/>
          <w:b/>
          <w:lang w:val="et-EE"/>
        </w:rPr>
        <w:t>7.</w:t>
      </w:r>
      <w:r w:rsidRPr="00155D0D">
        <w:rPr>
          <w:rFonts w:ascii="Verdana" w:hAnsi="Verdana"/>
          <w:b/>
          <w:lang w:val="et-EE"/>
        </w:rPr>
        <w:tab/>
        <w:t>Sanktsioonid</w:t>
      </w:r>
    </w:p>
    <w:p w:rsidR="00B5234B" w:rsidRPr="00155D0D" w:rsidRDefault="00B5234B">
      <w:pPr>
        <w:numPr>
          <w:ilvl w:val="12"/>
          <w:numId w:val="0"/>
        </w:numPr>
        <w:jc w:val="both"/>
        <w:rPr>
          <w:rFonts w:ascii="Verdana" w:hAnsi="Verdana"/>
          <w:b/>
          <w:lang w:val="et-EE"/>
        </w:rPr>
      </w:pPr>
    </w:p>
    <w:p w:rsidR="00B5234B" w:rsidRPr="00155D0D" w:rsidRDefault="00B5234B">
      <w:pPr>
        <w:ind w:left="851" w:hanging="851"/>
        <w:jc w:val="both"/>
        <w:rPr>
          <w:rFonts w:ascii="Verdana" w:hAnsi="Verdana"/>
          <w:lang w:val="et-EE"/>
        </w:rPr>
      </w:pPr>
      <w:r w:rsidRPr="00155D0D">
        <w:rPr>
          <w:rFonts w:ascii="Verdana" w:hAnsi="Verdana"/>
          <w:lang w:val="et-EE"/>
        </w:rPr>
        <w:t>7.1.</w:t>
      </w:r>
      <w:r w:rsidRPr="00155D0D">
        <w:rPr>
          <w:rFonts w:ascii="Verdana" w:hAnsi="Verdana"/>
          <w:lang w:val="et-EE"/>
        </w:rPr>
        <w:tab/>
        <w:t>Käesolevaga aktsepteerib Emitent Börsi õigust teha kooskõlas Reglemendiga ja selle alusel Emitendile hoiatus, määrata leppetrahv või rakendada Emitendi suhtes muid sanktsioone juhul, kui Emitent, tema juhatuse, nõukogu, tegevjuhtkonna liige, esindaja või töötaja  rikub Lepingus või Reglemendis sätestatud nõudeid.</w:t>
      </w:r>
    </w:p>
    <w:p w:rsidR="00B5234B" w:rsidRPr="00155D0D" w:rsidRDefault="00B5234B">
      <w:pPr>
        <w:numPr>
          <w:ilvl w:val="12"/>
          <w:numId w:val="0"/>
        </w:numPr>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7.2.</w:t>
      </w:r>
      <w:r w:rsidRPr="00155D0D">
        <w:rPr>
          <w:rFonts w:ascii="Verdana" w:hAnsi="Verdana"/>
          <w:lang w:val="et-EE"/>
        </w:rPr>
        <w:tab/>
        <w:t>Käesolevaga kohustub Emitent tasuma täies ulatuses ja määratud ajal kõik Börsi poolt kooskõlas Lepingu või Reglemendi sätetega Emitendilt nõutavad leppetrahvid.</w:t>
      </w:r>
    </w:p>
    <w:p w:rsidR="00B5234B" w:rsidRPr="00155D0D" w:rsidRDefault="00B5234B">
      <w:pPr>
        <w:ind w:left="851" w:hanging="851"/>
        <w:jc w:val="both"/>
        <w:rPr>
          <w:rFonts w:ascii="Verdana" w:hAnsi="Verdana"/>
          <w:lang w:val="et-EE"/>
        </w:rPr>
      </w:pPr>
    </w:p>
    <w:p w:rsidR="00B5234B" w:rsidRPr="00155D0D" w:rsidRDefault="00B5234B">
      <w:pPr>
        <w:ind w:left="851" w:hanging="851"/>
        <w:jc w:val="both"/>
        <w:rPr>
          <w:rFonts w:ascii="Verdana" w:hAnsi="Verdana"/>
          <w:lang w:val="et-EE"/>
        </w:rPr>
      </w:pPr>
      <w:r w:rsidRPr="00155D0D">
        <w:rPr>
          <w:rFonts w:ascii="Verdana" w:hAnsi="Verdana"/>
          <w:lang w:val="et-EE"/>
        </w:rPr>
        <w:t>7.3.</w:t>
      </w:r>
      <w:r w:rsidRPr="00155D0D">
        <w:rPr>
          <w:rFonts w:ascii="Verdana" w:hAnsi="Verdana"/>
          <w:lang w:val="et-EE"/>
        </w:rPr>
        <w:tab/>
        <w:t>Käesolevaga tunnistab Emitent Börsi õigust rakendada Emitendi suhtes sanktsioonina Reglemendis ettenähtud juhtudel Emitendi Väärtpaberitega kauplemise lõpetamist või peatamist</w:t>
      </w:r>
      <w:r w:rsidR="000425B0" w:rsidRPr="00155D0D">
        <w:rPr>
          <w:rFonts w:ascii="Verdana" w:hAnsi="Verdana"/>
          <w:lang w:val="et-EE"/>
        </w:rPr>
        <w:t xml:space="preserve"> ja/või noteerimise lõpetamist</w:t>
      </w:r>
      <w:r w:rsidRPr="00155D0D">
        <w:rPr>
          <w:rFonts w:ascii="Verdana" w:hAnsi="Verdana"/>
          <w:lang w:val="et-EE"/>
        </w:rPr>
        <w:t>.</w:t>
      </w:r>
    </w:p>
    <w:p w:rsidR="00B5234B" w:rsidRPr="00155D0D" w:rsidRDefault="00155D0D" w:rsidP="00155D0D">
      <w:pPr>
        <w:tabs>
          <w:tab w:val="left" w:pos="6000"/>
        </w:tabs>
        <w:ind w:left="851" w:hanging="851"/>
        <w:jc w:val="both"/>
        <w:rPr>
          <w:rFonts w:ascii="Verdana" w:hAnsi="Verdana"/>
          <w:lang w:val="et-EE"/>
        </w:rPr>
      </w:pPr>
      <w:r>
        <w:rPr>
          <w:rFonts w:ascii="Verdana" w:hAnsi="Verdana"/>
          <w:lang w:val="et-EE"/>
        </w:rPr>
        <w:tab/>
      </w:r>
      <w:r>
        <w:rPr>
          <w:rFonts w:ascii="Verdana" w:hAnsi="Verdana"/>
          <w:lang w:val="et-EE"/>
        </w:rPr>
        <w:tab/>
      </w:r>
    </w:p>
    <w:p w:rsidR="00B5234B" w:rsidRPr="00155D0D" w:rsidRDefault="00B5234B">
      <w:pPr>
        <w:ind w:left="851" w:hanging="851"/>
        <w:jc w:val="both"/>
        <w:rPr>
          <w:rFonts w:ascii="Verdana" w:hAnsi="Verdana"/>
          <w:lang w:val="et-EE"/>
        </w:rPr>
      </w:pPr>
      <w:r w:rsidRPr="00155D0D">
        <w:rPr>
          <w:rFonts w:ascii="Verdana" w:hAnsi="Verdana"/>
          <w:lang w:val="et-EE"/>
        </w:rPr>
        <w:t>7.4.</w:t>
      </w:r>
      <w:r w:rsidRPr="00155D0D">
        <w:rPr>
          <w:rFonts w:ascii="Verdana" w:hAnsi="Verdana"/>
          <w:lang w:val="et-EE"/>
        </w:rPr>
        <w:tab/>
        <w:t>Emitendi Väärtpaberitega kauplemise pe</w:t>
      </w:r>
      <w:r w:rsidR="000425B0" w:rsidRPr="00155D0D">
        <w:rPr>
          <w:rFonts w:ascii="Verdana" w:hAnsi="Verdana"/>
          <w:lang w:val="et-EE"/>
        </w:rPr>
        <w:t>atamine või lõpetamine Börsi poolt korraldatavatel turgudel</w:t>
      </w:r>
      <w:r w:rsidRPr="00155D0D">
        <w:rPr>
          <w:rFonts w:ascii="Verdana" w:hAnsi="Verdana"/>
          <w:lang w:val="et-EE"/>
        </w:rPr>
        <w:t xml:space="preserve"> </w:t>
      </w:r>
      <w:r w:rsidR="000425B0" w:rsidRPr="00155D0D">
        <w:rPr>
          <w:rFonts w:ascii="Verdana" w:hAnsi="Verdana"/>
          <w:lang w:val="et-EE"/>
        </w:rPr>
        <w:t xml:space="preserve">või Emitendi Väärtpaberite noteerimise lõpetamine Börsil </w:t>
      </w:r>
      <w:r w:rsidRPr="00155D0D">
        <w:rPr>
          <w:rFonts w:ascii="Verdana" w:hAnsi="Verdana"/>
          <w:lang w:val="et-EE"/>
        </w:rPr>
        <w:t>ei võta Börsilt õigust rakendada Emitendi suhtes teisi Lepingu või Reglemendiga ettenähtud sanktsioone.</w:t>
      </w:r>
    </w:p>
    <w:p w:rsidR="00B5234B" w:rsidRPr="00155D0D" w:rsidRDefault="00B5234B">
      <w:pPr>
        <w:numPr>
          <w:ilvl w:val="12"/>
          <w:numId w:val="0"/>
        </w:numPr>
        <w:jc w:val="both"/>
        <w:rPr>
          <w:rFonts w:ascii="Verdana" w:hAnsi="Verdana"/>
          <w:b/>
          <w:lang w:val="et-EE"/>
        </w:rPr>
      </w:pPr>
    </w:p>
    <w:p w:rsidR="00B5234B" w:rsidRPr="00155D0D" w:rsidRDefault="00B5234B">
      <w:pPr>
        <w:numPr>
          <w:ilvl w:val="12"/>
          <w:numId w:val="0"/>
        </w:numPr>
        <w:jc w:val="both"/>
        <w:rPr>
          <w:rFonts w:ascii="Verdana" w:hAnsi="Verdana"/>
          <w:b/>
          <w:lang w:val="et-EE"/>
        </w:rPr>
      </w:pPr>
    </w:p>
    <w:p w:rsidR="00B5234B" w:rsidRPr="00155D0D" w:rsidRDefault="00B5234B" w:rsidP="00747D34">
      <w:pPr>
        <w:jc w:val="both"/>
        <w:rPr>
          <w:rFonts w:ascii="Verdana" w:hAnsi="Verdana"/>
          <w:lang w:val="et-EE"/>
        </w:rPr>
      </w:pPr>
      <w:r w:rsidRPr="00155D0D">
        <w:rPr>
          <w:rFonts w:ascii="Verdana" w:hAnsi="Verdana"/>
          <w:lang w:val="et-EE"/>
        </w:rPr>
        <w:t xml:space="preserve">Leping </w:t>
      </w:r>
      <w:r w:rsidR="00747D34" w:rsidRPr="00155D0D">
        <w:rPr>
          <w:rFonts w:ascii="Verdana" w:hAnsi="Verdana"/>
          <w:lang w:val="et-EE"/>
        </w:rPr>
        <w:t xml:space="preserve">jõustub selle allakirjutamisest ning Leping </w:t>
      </w:r>
      <w:r w:rsidRPr="00155D0D">
        <w:rPr>
          <w:rFonts w:ascii="Verdana" w:hAnsi="Verdana"/>
          <w:lang w:val="et-EE"/>
        </w:rPr>
        <w:t>ja selle lahuta</w:t>
      </w:r>
      <w:r w:rsidR="00ED38BB" w:rsidRPr="00155D0D">
        <w:rPr>
          <w:rFonts w:ascii="Verdana" w:hAnsi="Verdana"/>
          <w:lang w:val="et-EE"/>
        </w:rPr>
        <w:t>matuks osaks olev Reglement on p</w:t>
      </w:r>
      <w:r w:rsidRPr="00155D0D">
        <w:rPr>
          <w:rFonts w:ascii="Verdana" w:hAnsi="Verdana"/>
          <w:lang w:val="et-EE"/>
        </w:rPr>
        <w:t xml:space="preserve">oolte suhtes kehtivad kuni Emitendi kõigi Väärtpaberite </w:t>
      </w:r>
      <w:r w:rsidR="00ED38BB" w:rsidRPr="00155D0D">
        <w:rPr>
          <w:rFonts w:ascii="Verdana" w:hAnsi="Verdana"/>
          <w:lang w:val="et-EE"/>
        </w:rPr>
        <w:t>kauplemise lõppemiseni</w:t>
      </w:r>
      <w:r w:rsidRPr="00155D0D">
        <w:rPr>
          <w:rFonts w:ascii="Verdana" w:hAnsi="Verdana"/>
          <w:lang w:val="et-EE"/>
        </w:rPr>
        <w:t xml:space="preserve"> Börsi poolt</w:t>
      </w:r>
      <w:r w:rsidR="00ED38BB" w:rsidRPr="00155D0D">
        <w:rPr>
          <w:rFonts w:ascii="Verdana" w:hAnsi="Verdana"/>
          <w:lang w:val="et-EE"/>
        </w:rPr>
        <w:t xml:space="preserve"> korraldatavatel turgudel</w:t>
      </w:r>
      <w:r w:rsidRPr="00155D0D">
        <w:rPr>
          <w:rFonts w:ascii="Verdana" w:hAnsi="Verdana"/>
          <w:lang w:val="et-EE"/>
        </w:rPr>
        <w:t>.</w:t>
      </w:r>
    </w:p>
    <w:p w:rsidR="00B5234B" w:rsidRPr="00155D0D" w:rsidRDefault="00B5234B">
      <w:pPr>
        <w:ind w:left="2552" w:hanging="1843"/>
        <w:jc w:val="both"/>
        <w:rPr>
          <w:rFonts w:ascii="Verdana" w:hAnsi="Verdana"/>
          <w:lang w:val="et-EE"/>
        </w:rPr>
      </w:pPr>
    </w:p>
    <w:p w:rsidR="00B5234B" w:rsidRPr="00155D0D" w:rsidRDefault="002879E6">
      <w:pPr>
        <w:jc w:val="both"/>
        <w:rPr>
          <w:rFonts w:ascii="Verdana" w:hAnsi="Verdana"/>
          <w:lang w:val="et-EE"/>
        </w:rPr>
      </w:pPr>
      <w:r w:rsidRPr="00155D0D">
        <w:rPr>
          <w:rFonts w:ascii="Verdana" w:hAnsi="Verdana"/>
          <w:lang w:val="et-EE"/>
        </w:rPr>
        <w:t>Käesolev Leping on</w:t>
      </w:r>
      <w:r w:rsidR="00155D0D">
        <w:rPr>
          <w:rFonts w:ascii="Verdana" w:hAnsi="Verdana"/>
          <w:lang w:val="et-EE"/>
        </w:rPr>
        <w:t xml:space="preserve"> sõlmitud eesti keeles </w:t>
      </w:r>
      <w:r w:rsidR="00155D0D">
        <w:rPr>
          <w:rFonts w:ascii="Verdana" w:hAnsi="Verdana"/>
          <w:highlight w:val="lightGray"/>
          <w:lang w:val="et-EE"/>
        </w:rPr>
        <w:t>neljal</w:t>
      </w:r>
      <w:r w:rsidR="00155D0D" w:rsidRPr="00155D0D">
        <w:rPr>
          <w:rFonts w:ascii="Verdana" w:hAnsi="Verdana"/>
          <w:highlight w:val="lightGray"/>
          <w:lang w:val="et-EE"/>
        </w:rPr>
        <w:t xml:space="preserve"> (</w:t>
      </w:r>
      <w:r w:rsidR="00155D0D">
        <w:rPr>
          <w:rFonts w:ascii="Verdana" w:hAnsi="Verdana"/>
          <w:highlight w:val="lightGray"/>
          <w:lang w:val="et-EE"/>
        </w:rPr>
        <w:t>4</w:t>
      </w:r>
      <w:r w:rsidRPr="00155D0D">
        <w:rPr>
          <w:rFonts w:ascii="Verdana" w:hAnsi="Verdana"/>
          <w:highlight w:val="lightGray"/>
          <w:lang w:val="et-EE"/>
        </w:rPr>
        <w:t>)</w:t>
      </w:r>
      <w:r w:rsidRPr="00155D0D">
        <w:rPr>
          <w:rFonts w:ascii="Verdana" w:hAnsi="Verdana"/>
          <w:lang w:val="et-EE"/>
        </w:rPr>
        <w:t xml:space="preserve"> lehel ning on Poolte poolt digitaalallkirjastatud</w:t>
      </w:r>
    </w:p>
    <w:p w:rsidR="00B5234B" w:rsidRPr="00155D0D" w:rsidRDefault="00B5234B">
      <w:pPr>
        <w:jc w:val="both"/>
        <w:rPr>
          <w:rFonts w:ascii="Verdana" w:hAnsi="Verdana"/>
          <w:lang w:val="et-EE"/>
        </w:rPr>
      </w:pPr>
    </w:p>
    <w:p w:rsidR="00993D69" w:rsidRPr="00155D0D" w:rsidRDefault="00993D69">
      <w:pPr>
        <w:jc w:val="both"/>
        <w:rPr>
          <w:rFonts w:ascii="Verdana" w:hAnsi="Verdana"/>
          <w:lang w:val="et-EE"/>
        </w:rPr>
      </w:pPr>
    </w:p>
    <w:p w:rsidR="00B5234B" w:rsidRPr="00155D0D" w:rsidRDefault="00B5234B">
      <w:pPr>
        <w:jc w:val="both"/>
        <w:outlineLvl w:val="0"/>
        <w:rPr>
          <w:rFonts w:ascii="Verdana" w:hAnsi="Verdana"/>
          <w:b/>
          <w:lang w:val="et-EE"/>
        </w:rPr>
      </w:pPr>
      <w:r w:rsidRPr="00155D0D">
        <w:rPr>
          <w:rFonts w:ascii="Verdana" w:hAnsi="Verdana"/>
          <w:b/>
          <w:lang w:val="et-EE"/>
        </w:rPr>
        <w:t>BÖRS:</w:t>
      </w:r>
      <w:r w:rsidRPr="00155D0D">
        <w:rPr>
          <w:rFonts w:ascii="Verdana" w:hAnsi="Verdana"/>
          <w:b/>
          <w:lang w:val="et-EE"/>
        </w:rPr>
        <w:tab/>
      </w:r>
      <w:r w:rsidRPr="00155D0D">
        <w:rPr>
          <w:rFonts w:ascii="Verdana" w:hAnsi="Verdana"/>
          <w:b/>
          <w:lang w:val="et-EE"/>
        </w:rPr>
        <w:tab/>
      </w:r>
      <w:r w:rsidRPr="00155D0D">
        <w:rPr>
          <w:rFonts w:ascii="Verdana" w:hAnsi="Verdana"/>
          <w:b/>
          <w:lang w:val="et-EE"/>
        </w:rPr>
        <w:tab/>
      </w:r>
      <w:r w:rsidRPr="00155D0D">
        <w:rPr>
          <w:rFonts w:ascii="Verdana" w:hAnsi="Verdana"/>
          <w:b/>
          <w:lang w:val="et-EE"/>
        </w:rPr>
        <w:tab/>
      </w:r>
      <w:r w:rsidRPr="00155D0D">
        <w:rPr>
          <w:rFonts w:ascii="Verdana" w:hAnsi="Verdana"/>
          <w:b/>
          <w:lang w:val="et-EE"/>
        </w:rPr>
        <w:tab/>
      </w:r>
      <w:r w:rsidRPr="00155D0D">
        <w:rPr>
          <w:rFonts w:ascii="Verdana" w:hAnsi="Verdana"/>
          <w:b/>
          <w:lang w:val="et-EE"/>
        </w:rPr>
        <w:tab/>
      </w:r>
      <w:r w:rsidRPr="00155D0D">
        <w:rPr>
          <w:rFonts w:ascii="Verdana" w:hAnsi="Verdana"/>
          <w:b/>
          <w:lang w:val="et-EE"/>
        </w:rPr>
        <w:tab/>
        <w:t>EMITENT:</w:t>
      </w:r>
    </w:p>
    <w:p w:rsidR="00E13F33" w:rsidRPr="00155D0D" w:rsidRDefault="00747D34" w:rsidP="00DC50C5">
      <w:pPr>
        <w:tabs>
          <w:tab w:val="left" w:pos="1701"/>
          <w:tab w:val="left" w:pos="2268"/>
        </w:tabs>
        <w:jc w:val="both"/>
        <w:rPr>
          <w:rFonts w:ascii="Verdana" w:hAnsi="Verdana"/>
          <w:lang w:val="et-EE"/>
        </w:rPr>
      </w:pPr>
      <w:r w:rsidRPr="00155D0D">
        <w:rPr>
          <w:rFonts w:ascii="Verdana" w:hAnsi="Verdana"/>
          <w:lang w:val="et-EE"/>
        </w:rPr>
        <w:t>N</w:t>
      </w:r>
      <w:r w:rsidR="003242AF" w:rsidRPr="00155D0D">
        <w:rPr>
          <w:rFonts w:ascii="Verdana" w:hAnsi="Verdana"/>
          <w:lang w:val="et-EE"/>
        </w:rPr>
        <w:t xml:space="preserve">asdaq Tallinn </w:t>
      </w:r>
      <w:r w:rsidR="000425B0" w:rsidRPr="00155D0D">
        <w:rPr>
          <w:rFonts w:ascii="Verdana" w:hAnsi="Verdana"/>
          <w:lang w:val="et-EE"/>
        </w:rPr>
        <w:t>AS</w:t>
      </w:r>
      <w:r w:rsidR="000425B0" w:rsidRPr="00155D0D">
        <w:rPr>
          <w:rFonts w:ascii="Verdana" w:hAnsi="Verdana"/>
          <w:lang w:val="et-EE"/>
        </w:rPr>
        <w:tab/>
      </w:r>
      <w:r w:rsidR="000425B0" w:rsidRPr="00155D0D">
        <w:rPr>
          <w:rFonts w:ascii="Verdana" w:hAnsi="Verdana"/>
          <w:lang w:val="et-EE"/>
        </w:rPr>
        <w:tab/>
      </w:r>
      <w:r w:rsidR="000425B0" w:rsidRPr="00155D0D">
        <w:rPr>
          <w:rFonts w:ascii="Verdana" w:hAnsi="Verdana"/>
          <w:lang w:val="et-EE"/>
        </w:rPr>
        <w:tab/>
      </w:r>
      <w:r w:rsidR="000425B0" w:rsidRPr="00155D0D">
        <w:rPr>
          <w:rFonts w:ascii="Verdana" w:hAnsi="Verdana"/>
          <w:lang w:val="et-EE"/>
        </w:rPr>
        <w:tab/>
      </w:r>
      <w:r w:rsidR="003242AF" w:rsidRPr="00155D0D">
        <w:rPr>
          <w:rFonts w:ascii="Verdana" w:hAnsi="Verdana"/>
          <w:lang w:val="et-EE"/>
        </w:rPr>
        <w:tab/>
      </w:r>
      <w:r w:rsidR="000425B0" w:rsidRPr="00155D0D">
        <w:rPr>
          <w:rFonts w:ascii="Verdana" w:hAnsi="Verdana"/>
          <w:lang w:val="et-EE"/>
        </w:rPr>
        <w:t xml:space="preserve">AS </w:t>
      </w:r>
      <w:r w:rsidR="00155D0D" w:rsidRPr="00155D0D">
        <w:rPr>
          <w:rFonts w:ascii="Verdana" w:hAnsi="Verdana"/>
          <w:highlight w:val="lightGray"/>
          <w:lang w:val="et-EE"/>
        </w:rPr>
        <w:t>[</w:t>
      </w:r>
      <w:r w:rsidR="00155D0D">
        <w:rPr>
          <w:rFonts w:ascii="Verdana" w:hAnsi="Verdana"/>
          <w:highlight w:val="lightGray"/>
          <w:lang w:val="et-EE"/>
        </w:rPr>
        <w:t>Emitendi nimi</w:t>
      </w:r>
      <w:r w:rsidR="00155D0D" w:rsidRPr="00155D0D">
        <w:rPr>
          <w:rFonts w:ascii="Verdana" w:hAnsi="Verdana"/>
          <w:highlight w:val="lightGray"/>
          <w:lang w:val="et-EE"/>
        </w:rPr>
        <w:t>]</w:t>
      </w:r>
    </w:p>
    <w:p w:rsidR="0045068B" w:rsidRPr="00155D0D" w:rsidRDefault="0045068B" w:rsidP="0045068B">
      <w:pPr>
        <w:jc w:val="both"/>
        <w:rPr>
          <w:rFonts w:ascii="Verdana" w:hAnsi="Verdana"/>
          <w:lang w:val="et-EE"/>
        </w:rPr>
      </w:pPr>
    </w:p>
    <w:p w:rsidR="0045068B" w:rsidRPr="00155D0D" w:rsidRDefault="0045068B" w:rsidP="0045068B">
      <w:pPr>
        <w:jc w:val="both"/>
        <w:rPr>
          <w:rFonts w:ascii="Verdana" w:hAnsi="Verdana"/>
          <w:lang w:val="et-EE"/>
        </w:rPr>
      </w:pPr>
    </w:p>
    <w:p w:rsidR="0045068B" w:rsidRPr="00155D0D" w:rsidRDefault="0045068B" w:rsidP="0045068B">
      <w:pPr>
        <w:jc w:val="both"/>
        <w:rPr>
          <w:rFonts w:ascii="Verdana" w:hAnsi="Verdana"/>
          <w:lang w:val="et-EE"/>
        </w:rPr>
      </w:pPr>
    </w:p>
    <w:p w:rsidR="0045068B" w:rsidRPr="00155D0D" w:rsidRDefault="0045068B" w:rsidP="0045068B">
      <w:pPr>
        <w:jc w:val="both"/>
        <w:rPr>
          <w:rFonts w:ascii="Verdana" w:hAnsi="Verdana"/>
          <w:lang w:val="et-EE"/>
        </w:rPr>
      </w:pPr>
      <w:r w:rsidRPr="00155D0D">
        <w:rPr>
          <w:rFonts w:ascii="Verdana" w:hAnsi="Verdana"/>
          <w:lang w:val="et-EE"/>
        </w:rPr>
        <w:t>/digiallkirjastatud/</w:t>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t>/digiallkirjastatud/</w:t>
      </w:r>
    </w:p>
    <w:p w:rsidR="0045068B" w:rsidRPr="00155D0D" w:rsidRDefault="00155D0D">
      <w:pPr>
        <w:jc w:val="both"/>
        <w:rPr>
          <w:rFonts w:ascii="Verdana" w:hAnsi="Verdana"/>
          <w:b/>
          <w:lang w:val="et-EE"/>
        </w:rPr>
      </w:pPr>
      <w:r w:rsidRPr="00155D0D">
        <w:rPr>
          <w:rFonts w:ascii="Verdana" w:hAnsi="Verdana"/>
          <w:highlight w:val="lightGray"/>
          <w:lang w:val="et-EE"/>
        </w:rPr>
        <w:t>[nimi]</w:t>
      </w:r>
      <w:r w:rsidR="003242AF" w:rsidRPr="00155D0D">
        <w:rPr>
          <w:rFonts w:ascii="Verdana" w:hAnsi="Verdana"/>
          <w:lang w:val="et-EE"/>
        </w:rPr>
        <w:tab/>
      </w:r>
      <w:r w:rsidR="0045068B" w:rsidRPr="00155D0D">
        <w:rPr>
          <w:rFonts w:ascii="Verdana" w:hAnsi="Verdana"/>
          <w:lang w:val="et-EE"/>
        </w:rPr>
        <w:tab/>
      </w:r>
      <w:r w:rsidR="0045068B" w:rsidRPr="00155D0D">
        <w:rPr>
          <w:rFonts w:ascii="Verdana" w:hAnsi="Verdana"/>
          <w:lang w:val="et-EE"/>
        </w:rPr>
        <w:tab/>
      </w:r>
      <w:r w:rsidR="0045068B" w:rsidRPr="00155D0D">
        <w:rPr>
          <w:rFonts w:ascii="Verdana" w:hAnsi="Verdana"/>
          <w:lang w:val="et-EE"/>
        </w:rPr>
        <w:tab/>
      </w:r>
      <w:r w:rsidR="0045068B" w:rsidRPr="00155D0D">
        <w:rPr>
          <w:rFonts w:ascii="Verdana" w:hAnsi="Verdana"/>
          <w:lang w:val="et-EE"/>
        </w:rPr>
        <w:tab/>
      </w:r>
      <w:r w:rsidR="0045068B" w:rsidRPr="00155D0D">
        <w:rPr>
          <w:rFonts w:ascii="Verdana" w:hAnsi="Verdana"/>
          <w:lang w:val="et-EE"/>
        </w:rPr>
        <w:tab/>
      </w:r>
      <w:r w:rsidR="0045068B" w:rsidRPr="00155D0D">
        <w:rPr>
          <w:rFonts w:ascii="Verdana" w:hAnsi="Verdana"/>
          <w:lang w:val="et-EE"/>
        </w:rPr>
        <w:tab/>
      </w:r>
      <w:r w:rsidRPr="00155D0D">
        <w:rPr>
          <w:rFonts w:ascii="Verdana" w:hAnsi="Verdana"/>
          <w:highlight w:val="lightGray"/>
          <w:lang w:val="et-EE"/>
        </w:rPr>
        <w:t>[nimi]</w:t>
      </w:r>
      <w:r w:rsidR="0045068B" w:rsidRPr="00155D0D">
        <w:rPr>
          <w:rFonts w:ascii="Verdana" w:hAnsi="Verdana"/>
          <w:lang w:val="et-EE"/>
        </w:rPr>
        <w:tab/>
      </w:r>
      <w:r w:rsidR="0045068B" w:rsidRPr="00155D0D">
        <w:rPr>
          <w:rFonts w:ascii="Verdana" w:hAnsi="Verdana"/>
          <w:lang w:val="et-EE"/>
        </w:rPr>
        <w:tab/>
      </w:r>
    </w:p>
    <w:p w:rsidR="00B5234B" w:rsidRPr="00155D0D" w:rsidRDefault="00B5234B">
      <w:pPr>
        <w:jc w:val="both"/>
        <w:rPr>
          <w:rFonts w:ascii="Verdana" w:hAnsi="Verdana"/>
          <w:b/>
          <w:lang w:val="et-EE"/>
        </w:rPr>
      </w:pPr>
      <w:r w:rsidRPr="00155D0D">
        <w:rPr>
          <w:rFonts w:ascii="Verdana" w:hAnsi="Verdana"/>
          <w:lang w:val="et-EE"/>
        </w:rPr>
        <w:t>Juhatuse liige</w:t>
      </w:r>
      <w:r w:rsidRPr="00155D0D">
        <w:rPr>
          <w:rFonts w:ascii="Verdana" w:hAnsi="Verdana"/>
          <w:lang w:val="et-EE"/>
        </w:rPr>
        <w:tab/>
      </w:r>
      <w:r w:rsidR="00747D34" w:rsidRPr="00155D0D">
        <w:rPr>
          <w:rFonts w:ascii="Verdana" w:hAnsi="Verdana"/>
          <w:lang w:val="et-EE"/>
        </w:rPr>
        <w:tab/>
      </w:r>
      <w:r w:rsidR="00747D34" w:rsidRPr="00155D0D">
        <w:rPr>
          <w:rFonts w:ascii="Verdana" w:hAnsi="Verdana"/>
          <w:lang w:val="et-EE"/>
        </w:rPr>
        <w:tab/>
      </w:r>
      <w:r w:rsidR="00747D34" w:rsidRPr="00155D0D">
        <w:rPr>
          <w:rFonts w:ascii="Verdana" w:hAnsi="Verdana"/>
          <w:lang w:val="et-EE"/>
        </w:rPr>
        <w:tab/>
      </w:r>
      <w:r w:rsidR="00747D34" w:rsidRPr="00155D0D">
        <w:rPr>
          <w:rFonts w:ascii="Verdana" w:hAnsi="Verdana"/>
          <w:lang w:val="et-EE"/>
        </w:rPr>
        <w:tab/>
      </w:r>
      <w:r w:rsidR="00747D34" w:rsidRPr="00155D0D">
        <w:rPr>
          <w:rFonts w:ascii="Verdana" w:hAnsi="Verdana"/>
          <w:lang w:val="et-EE"/>
        </w:rPr>
        <w:tab/>
        <w:t>Juhatuse liige</w:t>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r>
      <w:r w:rsidRPr="00155D0D">
        <w:rPr>
          <w:rFonts w:ascii="Verdana" w:hAnsi="Verdana"/>
          <w:lang w:val="et-EE"/>
        </w:rPr>
        <w:tab/>
      </w:r>
      <w:bookmarkStart w:id="0" w:name="_GoBack"/>
      <w:bookmarkEnd w:id="0"/>
      <w:r w:rsidRPr="00155D0D">
        <w:rPr>
          <w:rFonts w:ascii="Verdana" w:hAnsi="Verdana"/>
          <w:lang w:val="et-EE"/>
        </w:rPr>
        <w:tab/>
      </w:r>
      <w:r w:rsidRPr="00155D0D">
        <w:rPr>
          <w:rFonts w:ascii="Verdana" w:hAnsi="Verdana"/>
          <w:lang w:val="et-EE"/>
        </w:rPr>
        <w:tab/>
      </w:r>
    </w:p>
    <w:sectPr w:rsidR="00B5234B" w:rsidRPr="00155D0D" w:rsidSect="00155D0D">
      <w:headerReference w:type="default" r:id="rId7"/>
      <w:footerReference w:type="default" r:id="rId8"/>
      <w:headerReference w:type="first" r:id="rId9"/>
      <w:pgSz w:w="12240" w:h="15840"/>
      <w:pgMar w:top="1843" w:right="1800" w:bottom="1276"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5D" w:rsidRDefault="00C6455D">
      <w:r>
        <w:separator/>
      </w:r>
    </w:p>
  </w:endnote>
  <w:endnote w:type="continuationSeparator" w:id="0">
    <w:p w:rsidR="00C6455D" w:rsidRDefault="00C6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0D" w:rsidRPr="00155D0D" w:rsidRDefault="00155D0D">
    <w:pPr>
      <w:pStyle w:val="Footer"/>
      <w:jc w:val="right"/>
      <w:rPr>
        <w:rFonts w:ascii="Verdana" w:hAnsi="Verdana"/>
      </w:rPr>
    </w:pPr>
    <w:r w:rsidRPr="00155D0D">
      <w:rPr>
        <w:rFonts w:ascii="Verdana" w:hAnsi="Verdana"/>
        <w:sz w:val="20"/>
      </w:rPr>
      <w:fldChar w:fldCharType="begin"/>
    </w:r>
    <w:r w:rsidRPr="00155D0D">
      <w:rPr>
        <w:rFonts w:ascii="Verdana" w:hAnsi="Verdana"/>
        <w:sz w:val="20"/>
      </w:rPr>
      <w:instrText xml:space="preserve"> PAGE   \* MERGEFORMAT </w:instrText>
    </w:r>
    <w:r w:rsidRPr="00155D0D">
      <w:rPr>
        <w:rFonts w:ascii="Verdana" w:hAnsi="Verdana"/>
        <w:sz w:val="20"/>
      </w:rPr>
      <w:fldChar w:fldCharType="separate"/>
    </w:r>
    <w:r w:rsidR="004177FE">
      <w:rPr>
        <w:rFonts w:ascii="Verdana" w:hAnsi="Verdana"/>
        <w:noProof/>
        <w:sz w:val="20"/>
      </w:rPr>
      <w:t>4</w:t>
    </w:r>
    <w:r w:rsidRPr="00155D0D">
      <w:rPr>
        <w:rFonts w:ascii="Verdana" w:hAnsi="Verdana"/>
        <w:noProof/>
        <w:sz w:val="20"/>
      </w:rPr>
      <w:fldChar w:fldCharType="end"/>
    </w:r>
  </w:p>
  <w:p w:rsidR="00B60D86" w:rsidRPr="000D0CC3" w:rsidRDefault="00B60D86">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5D" w:rsidRDefault="00C6455D">
      <w:r>
        <w:separator/>
      </w:r>
    </w:p>
  </w:footnote>
  <w:footnote w:type="continuationSeparator" w:id="0">
    <w:p w:rsidR="00C6455D" w:rsidRDefault="00C64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0D" w:rsidRDefault="004177FE" w:rsidP="00155D0D">
    <w:pPr>
      <w:pStyle w:val="Header"/>
      <w:jc w:val="right"/>
    </w:pPr>
    <w:r>
      <w:rPr>
        <w:noProof/>
        <w:lang w:val="et-EE" w:eastAsia="et-EE"/>
      </w:rPr>
      <w:drawing>
        <wp:inline distT="0" distB="0" distL="0" distR="0">
          <wp:extent cx="1743075" cy="495300"/>
          <wp:effectExtent l="0" t="0" r="9525" b="0"/>
          <wp:docPr id="103" name="Picture 103" descr="C:\Users\heduus\Pictures\nasdaqlogo_oc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heduus\Pictures\nasdaqlogo_oc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86" w:rsidRDefault="004177FE" w:rsidP="00155D0D">
    <w:pPr>
      <w:pStyle w:val="Header"/>
      <w:jc w:val="right"/>
    </w:pPr>
    <w:r>
      <w:rPr>
        <w:noProof/>
        <w:lang w:val="et-EE" w:eastAsia="et-EE"/>
      </w:rPr>
      <w:drawing>
        <wp:inline distT="0" distB="0" distL="0" distR="0">
          <wp:extent cx="1228725" cy="342900"/>
          <wp:effectExtent l="0" t="0" r="9525" b="0"/>
          <wp:docPr id="102" name="Picture 102" descr="C:\Users\heduus\Pictures\nasdaqlogo_oc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heduus\Pictures\nasdaqlogo_oct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505A"/>
    <w:multiLevelType w:val="hybridMultilevel"/>
    <w:tmpl w:val="29061D0A"/>
    <w:lvl w:ilvl="0" w:tplc="75ACC48E">
      <w:start w:val="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B3E99"/>
    <w:multiLevelType w:val="singleLevel"/>
    <w:tmpl w:val="8DD236C2"/>
    <w:lvl w:ilvl="0">
      <w:start w:val="6"/>
      <w:numFmt w:val="decimal"/>
      <w:lvlText w:val="%1."/>
      <w:lvlJc w:val="left"/>
      <w:pPr>
        <w:tabs>
          <w:tab w:val="num" w:pos="720"/>
        </w:tabs>
        <w:ind w:left="720" w:hanging="720"/>
      </w:pPr>
      <w:rPr>
        <w:rFonts w:hint="default"/>
      </w:rPr>
    </w:lvl>
  </w:abstractNum>
  <w:abstractNum w:abstractNumId="2" w15:restartNumberingAfterBreak="0">
    <w:nsid w:val="68735FBA"/>
    <w:multiLevelType w:val="multilevel"/>
    <w:tmpl w:val="3D7E9BE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851"/>
      <w:lvlJc w:val="left"/>
      <w:pPr>
        <w:ind w:left="2836" w:hanging="851"/>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C6"/>
    <w:rsid w:val="000177F7"/>
    <w:rsid w:val="00024C4A"/>
    <w:rsid w:val="00031919"/>
    <w:rsid w:val="000425B0"/>
    <w:rsid w:val="000D0CC3"/>
    <w:rsid w:val="00155D0D"/>
    <w:rsid w:val="001635D5"/>
    <w:rsid w:val="001E533A"/>
    <w:rsid w:val="00226526"/>
    <w:rsid w:val="002879E6"/>
    <w:rsid w:val="002F3DFB"/>
    <w:rsid w:val="00303226"/>
    <w:rsid w:val="003242AF"/>
    <w:rsid w:val="003429F9"/>
    <w:rsid w:val="00354BFB"/>
    <w:rsid w:val="003B31C6"/>
    <w:rsid w:val="003F5E8A"/>
    <w:rsid w:val="004010FD"/>
    <w:rsid w:val="00413947"/>
    <w:rsid w:val="00413E61"/>
    <w:rsid w:val="004177FE"/>
    <w:rsid w:val="0045068B"/>
    <w:rsid w:val="00480BF7"/>
    <w:rsid w:val="004A032B"/>
    <w:rsid w:val="004D1E56"/>
    <w:rsid w:val="004F4A7E"/>
    <w:rsid w:val="00547298"/>
    <w:rsid w:val="00566913"/>
    <w:rsid w:val="0059644F"/>
    <w:rsid w:val="005C0F24"/>
    <w:rsid w:val="00634592"/>
    <w:rsid w:val="00656656"/>
    <w:rsid w:val="00684865"/>
    <w:rsid w:val="006E6C71"/>
    <w:rsid w:val="00703EB1"/>
    <w:rsid w:val="00704361"/>
    <w:rsid w:val="007117DD"/>
    <w:rsid w:val="00714154"/>
    <w:rsid w:val="00731EED"/>
    <w:rsid w:val="00747D34"/>
    <w:rsid w:val="007731B1"/>
    <w:rsid w:val="0077524F"/>
    <w:rsid w:val="00840B06"/>
    <w:rsid w:val="00913884"/>
    <w:rsid w:val="00942CB4"/>
    <w:rsid w:val="0097677F"/>
    <w:rsid w:val="00982596"/>
    <w:rsid w:val="00993D69"/>
    <w:rsid w:val="009D0409"/>
    <w:rsid w:val="009E5800"/>
    <w:rsid w:val="00A305D3"/>
    <w:rsid w:val="00A769EF"/>
    <w:rsid w:val="00AD2947"/>
    <w:rsid w:val="00B35F50"/>
    <w:rsid w:val="00B47BA8"/>
    <w:rsid w:val="00B5234B"/>
    <w:rsid w:val="00B53BF4"/>
    <w:rsid w:val="00B60D86"/>
    <w:rsid w:val="00BD3F5B"/>
    <w:rsid w:val="00BF0AAE"/>
    <w:rsid w:val="00C35A23"/>
    <w:rsid w:val="00C6455D"/>
    <w:rsid w:val="00C974DA"/>
    <w:rsid w:val="00CD0F00"/>
    <w:rsid w:val="00CE1666"/>
    <w:rsid w:val="00DC50C5"/>
    <w:rsid w:val="00E07434"/>
    <w:rsid w:val="00E13F33"/>
    <w:rsid w:val="00ED38BB"/>
    <w:rsid w:val="00ED394E"/>
    <w:rsid w:val="00FB3A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252320-ADA4-4C59-84F2-3B72E4DD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GB"/>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851" w:hanging="851"/>
      <w:jc w:val="both"/>
    </w:pPr>
    <w:rPr>
      <w:rFonts w:ascii="Verdana" w:hAnsi="Verdana"/>
      <w:lang w:val="et-EE"/>
    </w:rPr>
  </w:style>
  <w:style w:type="paragraph" w:styleId="BalloonText">
    <w:name w:val="Balloon Text"/>
    <w:basedOn w:val="Normal"/>
    <w:link w:val="BalloonTextChar"/>
    <w:rsid w:val="009E5800"/>
    <w:rPr>
      <w:rFonts w:ascii="Segoe UI" w:hAnsi="Segoe UI" w:cs="Segoe UI"/>
      <w:sz w:val="18"/>
      <w:szCs w:val="18"/>
    </w:rPr>
  </w:style>
  <w:style w:type="character" w:customStyle="1" w:styleId="BalloonTextChar">
    <w:name w:val="Balloon Text Char"/>
    <w:link w:val="BalloonText"/>
    <w:rsid w:val="009E5800"/>
    <w:rPr>
      <w:rFonts w:ascii="Segoe UI" w:hAnsi="Segoe UI" w:cs="Segoe UI"/>
      <w:sz w:val="18"/>
      <w:szCs w:val="18"/>
      <w:lang w:val="en-US" w:eastAsia="en-US"/>
    </w:rPr>
  </w:style>
  <w:style w:type="character" w:customStyle="1" w:styleId="HeaderChar">
    <w:name w:val="Header Char"/>
    <w:link w:val="Header"/>
    <w:uiPriority w:val="99"/>
    <w:rsid w:val="005C0F24"/>
    <w:rPr>
      <w:lang w:val="en-US" w:eastAsia="en-US"/>
    </w:rPr>
  </w:style>
  <w:style w:type="character" w:customStyle="1" w:styleId="FooterChar">
    <w:name w:val="Footer Char"/>
    <w:link w:val="Footer"/>
    <w:uiPriority w:val="99"/>
    <w:rsid w:val="00155D0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LEPING VÄÄRTPABERITE NOTEERIMISEKS</vt:lpstr>
    </vt:vector>
  </TitlesOfParts>
  <Company>Tallinn Stock Exchange</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 VÄÄRTPABERITE NOTEERIMISEKS</dc:title>
  <dc:subject/>
  <dc:creator>annely</dc:creator>
  <cp:keywords/>
  <cp:lastModifiedBy>Hedi Uustalu</cp:lastModifiedBy>
  <cp:revision>2</cp:revision>
  <cp:lastPrinted>2009-09-03T09:10:00Z</cp:lastPrinted>
  <dcterms:created xsi:type="dcterms:W3CDTF">2017-10-11T11:40:00Z</dcterms:created>
  <dcterms:modified xsi:type="dcterms:W3CDTF">2017-10-11T11:40:00Z</dcterms:modified>
</cp:coreProperties>
</file>